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FE3D" w14:textId="01A80ADF" w:rsidR="00562EB2" w:rsidRPr="00810753" w:rsidRDefault="001D47EB" w:rsidP="00562EB2">
      <w:pPr>
        <w:pStyle w:val="Title"/>
        <w:rPr>
          <w:rFonts w:ascii="Arial" w:hAnsi="Arial" w:cs="Arial"/>
          <w:color w:val="003180"/>
          <w:sz w:val="44"/>
          <w:szCs w:val="44"/>
          <w:lang w:val="en-US"/>
        </w:rPr>
      </w:pPr>
      <w:r>
        <w:rPr>
          <w:rFonts w:ascii="Arial" w:hAnsi="Arial" w:cs="Arial"/>
          <w:noProof/>
          <w:color w:val="003180"/>
          <w:sz w:val="44"/>
          <w:szCs w:val="44"/>
          <w:lang w:val="en-US"/>
        </w:rPr>
        <w:drawing>
          <wp:inline distT="0" distB="0" distL="0" distR="0" wp14:anchorId="26B5BE3E" wp14:editId="255010F7">
            <wp:extent cx="540000" cy="540000"/>
            <wp:effectExtent l="0" t="0" r="0" b="635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n-manual-book-3658241-00449F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EB2" w:rsidRPr="00810753">
        <w:rPr>
          <w:rFonts w:ascii="Arial" w:hAnsi="Arial" w:cs="Arial"/>
          <w:color w:val="003180"/>
          <w:sz w:val="44"/>
          <w:szCs w:val="44"/>
          <w:lang w:val="en-US"/>
        </w:rPr>
        <w:t>Instructor Guide</w:t>
      </w:r>
    </w:p>
    <w:p w14:paraId="15EB8DCB" w14:textId="2A93B38D" w:rsidR="00562EB2" w:rsidRPr="00810753" w:rsidRDefault="00562EB2" w:rsidP="00562EB2">
      <w:pPr>
        <w:pStyle w:val="Title"/>
        <w:rPr>
          <w:rFonts w:ascii="Arial" w:hAnsi="Arial" w:cs="Arial"/>
          <w:color w:val="003180"/>
          <w:sz w:val="44"/>
          <w:szCs w:val="44"/>
          <w:lang w:val="en-US"/>
        </w:rPr>
      </w:pPr>
      <w:r w:rsidRPr="00810753">
        <w:rPr>
          <w:rFonts w:ascii="Arial" w:hAnsi="Arial" w:cs="Arial"/>
          <w:color w:val="003180"/>
          <w:sz w:val="44"/>
          <w:szCs w:val="44"/>
          <w:lang w:val="en-US"/>
        </w:rPr>
        <w:t>Enabling the Canadian Engineering Grand Challenges for Educators</w:t>
      </w:r>
    </w:p>
    <w:p w14:paraId="2ACA4007" w14:textId="2A5DC0DE" w:rsidR="00562EB2" w:rsidRPr="006F1303" w:rsidRDefault="00562EB2" w:rsidP="00562EB2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</w:pPr>
      <w:r w:rsidRPr="006F1303"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  <w:t>Overview</w:t>
      </w:r>
    </w:p>
    <w:p w14:paraId="2C0710F4" w14:textId="5E2FCB96" w:rsidR="00562EB2" w:rsidRPr="006F1303" w:rsidRDefault="00562EB2" w:rsidP="00810753">
      <w:pPr>
        <w:spacing w:after="120" w:line="240" w:lineRule="auto"/>
        <w:rPr>
          <w:rFonts w:ascii="Arial" w:hAnsi="Arial" w:cs="Arial"/>
          <w:lang w:val="en-US"/>
        </w:rPr>
      </w:pPr>
      <w:r w:rsidRPr="006F1303">
        <w:rPr>
          <w:rFonts w:ascii="Arial" w:hAnsi="Arial" w:cs="Arial"/>
          <w:lang w:val="en-US"/>
        </w:rPr>
        <w:t>“</w:t>
      </w:r>
      <w:r w:rsidRPr="003A4638">
        <w:rPr>
          <w:rFonts w:ascii="Arial" w:hAnsi="Arial" w:cs="Arial"/>
          <w:i/>
          <w:iCs/>
          <w:lang w:val="en-US"/>
        </w:rPr>
        <w:t>Enabling the Canadian Engineering Grand Challenges for Edu</w:t>
      </w:r>
      <w:r w:rsidR="00627763" w:rsidRPr="003A4638">
        <w:rPr>
          <w:rFonts w:ascii="Arial" w:hAnsi="Arial" w:cs="Arial"/>
          <w:i/>
          <w:iCs/>
          <w:lang w:val="en-US"/>
        </w:rPr>
        <w:t>cators</w:t>
      </w:r>
      <w:r w:rsidR="00627763" w:rsidRPr="006F1303">
        <w:rPr>
          <w:rFonts w:ascii="Arial" w:hAnsi="Arial" w:cs="Arial"/>
          <w:lang w:val="en-US"/>
        </w:rPr>
        <w:t xml:space="preserve">” was created to </w:t>
      </w:r>
      <w:r w:rsidR="005547E6" w:rsidRPr="006F1303">
        <w:rPr>
          <w:rFonts w:ascii="Arial" w:hAnsi="Arial" w:cs="Arial"/>
          <w:lang w:val="en-US"/>
        </w:rPr>
        <w:t xml:space="preserve">support </w:t>
      </w:r>
      <w:r w:rsidR="00627763" w:rsidRPr="006F1303">
        <w:rPr>
          <w:rFonts w:ascii="Arial" w:hAnsi="Arial" w:cs="Arial"/>
          <w:lang w:val="en-US"/>
        </w:rPr>
        <w:t xml:space="preserve">engineering </w:t>
      </w:r>
      <w:r w:rsidR="005547E6" w:rsidRPr="006F1303">
        <w:rPr>
          <w:rFonts w:ascii="Arial" w:hAnsi="Arial" w:cs="Arial"/>
          <w:lang w:val="en-US"/>
        </w:rPr>
        <w:t>educators</w:t>
      </w:r>
      <w:r w:rsidR="00627763" w:rsidRPr="006F1303">
        <w:rPr>
          <w:rFonts w:ascii="Arial" w:hAnsi="Arial" w:cs="Arial"/>
          <w:lang w:val="en-US"/>
        </w:rPr>
        <w:t xml:space="preserve"> </w:t>
      </w:r>
      <w:r w:rsidR="005547E6" w:rsidRPr="006F1303">
        <w:rPr>
          <w:rFonts w:ascii="Arial" w:hAnsi="Arial" w:cs="Arial"/>
          <w:lang w:val="en-US"/>
        </w:rPr>
        <w:t xml:space="preserve">in </w:t>
      </w:r>
      <w:r w:rsidR="00627763" w:rsidRPr="006F1303">
        <w:rPr>
          <w:rFonts w:ascii="Arial" w:hAnsi="Arial" w:cs="Arial"/>
          <w:lang w:val="en-US"/>
        </w:rPr>
        <w:t>actively engag</w:t>
      </w:r>
      <w:r w:rsidR="005547E6" w:rsidRPr="006F1303">
        <w:rPr>
          <w:rFonts w:ascii="Arial" w:hAnsi="Arial" w:cs="Arial"/>
          <w:lang w:val="en-US"/>
        </w:rPr>
        <w:t>ing</w:t>
      </w:r>
      <w:r w:rsidR="00627763" w:rsidRPr="006F1303">
        <w:rPr>
          <w:rFonts w:ascii="Arial" w:hAnsi="Arial" w:cs="Arial"/>
          <w:lang w:val="en-US"/>
        </w:rPr>
        <w:t xml:space="preserve"> students in developing </w:t>
      </w:r>
      <w:r w:rsidR="001D0033" w:rsidRPr="006F1303">
        <w:rPr>
          <w:rFonts w:ascii="Arial" w:hAnsi="Arial" w:cs="Arial"/>
          <w:lang w:val="en-US"/>
        </w:rPr>
        <w:t>a</w:t>
      </w:r>
      <w:r w:rsidR="00627763" w:rsidRPr="006F1303">
        <w:rPr>
          <w:rFonts w:ascii="Arial" w:hAnsi="Arial" w:cs="Arial"/>
          <w:lang w:val="en-US"/>
        </w:rPr>
        <w:t xml:space="preserve">wareness of the complex sociotechnical challenges in the Canadian context, and to support engineering instructors in </w:t>
      </w:r>
      <w:r w:rsidR="001D0033" w:rsidRPr="006F1303">
        <w:rPr>
          <w:rFonts w:ascii="Arial" w:hAnsi="Arial" w:cs="Arial"/>
          <w:lang w:val="en-US"/>
        </w:rPr>
        <w:t>preparing undergraduate engineering students with the necessary leadership and sociotechnical knowledge, skills and attitudes to solve these large complex challenges and facilitate impactful change.</w:t>
      </w:r>
    </w:p>
    <w:p w14:paraId="2DA728C8" w14:textId="5D80B1D2" w:rsidR="005547E6" w:rsidRPr="006F1303" w:rsidRDefault="00627763" w:rsidP="00810753">
      <w:pPr>
        <w:spacing w:after="120" w:line="240" w:lineRule="auto"/>
        <w:rPr>
          <w:rFonts w:ascii="Arial" w:hAnsi="Arial" w:cs="Arial"/>
          <w:lang w:val="en-US"/>
        </w:rPr>
      </w:pPr>
      <w:r w:rsidRPr="006F1303">
        <w:rPr>
          <w:rFonts w:ascii="Arial" w:hAnsi="Arial" w:cs="Arial"/>
          <w:lang w:val="en-US"/>
        </w:rPr>
        <w:t xml:space="preserve">The </w:t>
      </w:r>
      <w:r w:rsidR="001D0033" w:rsidRPr="006F1303">
        <w:rPr>
          <w:rFonts w:ascii="Arial" w:hAnsi="Arial" w:cs="Arial"/>
          <w:lang w:val="en-US"/>
        </w:rPr>
        <w:t xml:space="preserve">information and activities are contextualized to the six </w:t>
      </w:r>
      <w:r w:rsidRPr="006F1303">
        <w:rPr>
          <w:rFonts w:ascii="Arial" w:hAnsi="Arial" w:cs="Arial"/>
          <w:lang w:val="en-US"/>
        </w:rPr>
        <w:t xml:space="preserve">Canadian Engineering Grand Challenges (CEGC) </w:t>
      </w:r>
      <w:r w:rsidR="001D0033" w:rsidRPr="006F1303">
        <w:rPr>
          <w:rFonts w:ascii="Arial" w:hAnsi="Arial" w:cs="Arial"/>
          <w:lang w:val="en-US"/>
        </w:rPr>
        <w:t>d</w:t>
      </w:r>
      <w:r w:rsidRPr="006F1303">
        <w:rPr>
          <w:rFonts w:ascii="Arial" w:hAnsi="Arial" w:cs="Arial"/>
          <w:lang w:val="en-US"/>
        </w:rPr>
        <w:t xml:space="preserve">eveloped by Engineering Deans Canada </w:t>
      </w:r>
      <w:r w:rsidR="00FB0C5C">
        <w:rPr>
          <w:rFonts w:ascii="Arial" w:hAnsi="Arial" w:cs="Arial"/>
          <w:lang w:val="en-US"/>
        </w:rPr>
        <w:t>(</w:t>
      </w:r>
      <w:hyperlink r:id="rId9" w:history="1">
        <w:r w:rsidR="00FB0C5C" w:rsidRPr="008159C1">
          <w:rPr>
            <w:rStyle w:val="Hyperlink"/>
            <w:rFonts w:ascii="Arial" w:hAnsi="Arial" w:cs="Arial"/>
            <w:lang w:val="en-US"/>
          </w:rPr>
          <w:t>https://engineeringdeans.ca</w:t>
        </w:r>
      </w:hyperlink>
      <w:r w:rsidR="00FB0C5C">
        <w:rPr>
          <w:rFonts w:ascii="Arial" w:hAnsi="Arial" w:cs="Arial"/>
          <w:lang w:val="en-US"/>
        </w:rPr>
        <w:t xml:space="preserve">) </w:t>
      </w:r>
      <w:r w:rsidR="00FB0C5C" w:rsidRPr="006F1303">
        <w:rPr>
          <w:rFonts w:ascii="Arial" w:hAnsi="Arial" w:cs="Arial"/>
          <w:lang w:val="en-US"/>
        </w:rPr>
        <w:t>in 2019</w:t>
      </w:r>
      <w:r w:rsidR="005547E6" w:rsidRPr="006F1303">
        <w:rPr>
          <w:rFonts w:ascii="Arial" w:hAnsi="Arial" w:cs="Arial"/>
          <w:lang w:val="en-US"/>
        </w:rPr>
        <w:t xml:space="preserve">. The six CEGC </w:t>
      </w:r>
      <w:r w:rsidR="001D0033" w:rsidRPr="006F1303">
        <w:rPr>
          <w:rFonts w:ascii="Arial" w:hAnsi="Arial" w:cs="Arial"/>
          <w:lang w:val="en-US"/>
        </w:rPr>
        <w:t>capture the United Nations 17 Sustainable Development Goals (SDG) in a way that is unique</w:t>
      </w:r>
      <w:r w:rsidR="005547E6" w:rsidRPr="006F1303">
        <w:rPr>
          <w:rFonts w:ascii="Arial" w:hAnsi="Arial" w:cs="Arial"/>
          <w:lang w:val="en-US"/>
        </w:rPr>
        <w:t xml:space="preserve"> </w:t>
      </w:r>
      <w:r w:rsidR="001D0033" w:rsidRPr="006F1303">
        <w:rPr>
          <w:rFonts w:ascii="Arial" w:hAnsi="Arial" w:cs="Arial"/>
          <w:lang w:val="en-US"/>
        </w:rPr>
        <w:t xml:space="preserve">to </w:t>
      </w:r>
      <w:r w:rsidR="005547E6" w:rsidRPr="006F1303">
        <w:rPr>
          <w:rFonts w:ascii="Arial" w:hAnsi="Arial" w:cs="Arial"/>
          <w:lang w:val="en-US"/>
        </w:rPr>
        <w:t xml:space="preserve">the engineering context in </w:t>
      </w:r>
      <w:r w:rsidR="001D0033" w:rsidRPr="006F1303">
        <w:rPr>
          <w:rFonts w:ascii="Arial" w:hAnsi="Arial" w:cs="Arial"/>
          <w:lang w:val="en-US"/>
        </w:rPr>
        <w:t>Canada.</w:t>
      </w:r>
    </w:p>
    <w:p w14:paraId="04B669CC" w14:textId="09A52B73" w:rsidR="00627763" w:rsidRPr="006F1303" w:rsidRDefault="005547E6" w:rsidP="00810753">
      <w:pPr>
        <w:spacing w:after="120" w:line="240" w:lineRule="auto"/>
        <w:rPr>
          <w:rFonts w:ascii="Arial" w:hAnsi="Arial" w:cs="Arial"/>
          <w:lang w:val="en-US"/>
        </w:rPr>
      </w:pPr>
      <w:r w:rsidRPr="006F1303">
        <w:rPr>
          <w:rFonts w:ascii="Arial" w:hAnsi="Arial" w:cs="Arial"/>
          <w:lang w:val="en-US"/>
        </w:rPr>
        <w:t xml:space="preserve">The modules are designed for to allow instructors to supplement courses or </w:t>
      </w:r>
      <w:r w:rsidR="00A42D66" w:rsidRPr="006F1303">
        <w:rPr>
          <w:rFonts w:ascii="Arial" w:hAnsi="Arial" w:cs="Arial"/>
          <w:lang w:val="en-US"/>
        </w:rPr>
        <w:t>workshops and</w:t>
      </w:r>
      <w:r w:rsidRPr="006F1303">
        <w:rPr>
          <w:rFonts w:ascii="Arial" w:hAnsi="Arial" w:cs="Arial"/>
          <w:lang w:val="en-US"/>
        </w:rPr>
        <w:t xml:space="preserve"> complement learning material for their students. For each CEGC, f</w:t>
      </w:r>
      <w:r w:rsidR="00627763" w:rsidRPr="006F1303">
        <w:rPr>
          <w:rFonts w:ascii="Arial" w:hAnsi="Arial" w:cs="Arial"/>
          <w:lang w:val="en-US"/>
        </w:rPr>
        <w:t xml:space="preserve">oundational material, activities, case studies and exercises </w:t>
      </w:r>
      <w:r w:rsidRPr="006F1303">
        <w:rPr>
          <w:rFonts w:ascii="Arial" w:hAnsi="Arial" w:cs="Arial"/>
          <w:lang w:val="en-US"/>
        </w:rPr>
        <w:t>are provided</w:t>
      </w:r>
      <w:r w:rsidR="00BD1C99">
        <w:rPr>
          <w:rFonts w:ascii="Arial" w:hAnsi="Arial" w:cs="Arial"/>
          <w:lang w:val="en-US"/>
        </w:rPr>
        <w:t>.</w:t>
      </w:r>
      <w:r w:rsidRPr="006F1303">
        <w:rPr>
          <w:rFonts w:ascii="Arial" w:hAnsi="Arial" w:cs="Arial"/>
          <w:lang w:val="en-US"/>
        </w:rPr>
        <w:t xml:space="preserve"> </w:t>
      </w:r>
      <w:r w:rsidR="00627763" w:rsidRPr="006F1303">
        <w:rPr>
          <w:rFonts w:ascii="Arial" w:hAnsi="Arial" w:cs="Arial"/>
          <w:lang w:val="en-US"/>
        </w:rPr>
        <w:t xml:space="preserve">The modules </w:t>
      </w:r>
      <w:r w:rsidRPr="006F1303">
        <w:rPr>
          <w:rFonts w:ascii="Arial" w:hAnsi="Arial" w:cs="Arial"/>
          <w:lang w:val="en-US"/>
        </w:rPr>
        <w:t xml:space="preserve">provide a background to the CEGC </w:t>
      </w:r>
      <w:r w:rsidR="00A42D66">
        <w:rPr>
          <w:rFonts w:ascii="Arial" w:hAnsi="Arial" w:cs="Arial"/>
          <w:lang w:val="en-US"/>
        </w:rPr>
        <w:t>themselves and</w:t>
      </w:r>
      <w:r w:rsidR="009A3423">
        <w:rPr>
          <w:rFonts w:ascii="Arial" w:hAnsi="Arial" w:cs="Arial"/>
          <w:lang w:val="en-US"/>
        </w:rPr>
        <w:t xml:space="preserve"> </w:t>
      </w:r>
      <w:r w:rsidR="003F4A0C">
        <w:rPr>
          <w:rFonts w:ascii="Arial" w:hAnsi="Arial" w:cs="Arial"/>
          <w:lang w:val="en-US"/>
        </w:rPr>
        <w:t xml:space="preserve">are enhanced by providing a </w:t>
      </w:r>
      <w:r w:rsidRPr="006F1303">
        <w:rPr>
          <w:rFonts w:ascii="Arial" w:hAnsi="Arial" w:cs="Arial"/>
          <w:lang w:val="en-US"/>
        </w:rPr>
        <w:t xml:space="preserve">case study </w:t>
      </w:r>
      <w:r w:rsidR="003F4A0C">
        <w:rPr>
          <w:rFonts w:ascii="Arial" w:hAnsi="Arial" w:cs="Arial"/>
          <w:lang w:val="en-US"/>
        </w:rPr>
        <w:t xml:space="preserve">that presents </w:t>
      </w:r>
      <w:r w:rsidR="00627763" w:rsidRPr="006F1303">
        <w:rPr>
          <w:rFonts w:ascii="Arial" w:hAnsi="Arial" w:cs="Arial"/>
          <w:lang w:val="en-US"/>
        </w:rPr>
        <w:t xml:space="preserve">a summary of the </w:t>
      </w:r>
      <w:r w:rsidR="00B17724">
        <w:rPr>
          <w:rFonts w:ascii="Arial" w:hAnsi="Arial" w:cs="Arial"/>
          <w:lang w:val="en-US"/>
        </w:rPr>
        <w:t>sociotechnical challenges</w:t>
      </w:r>
      <w:r w:rsidRPr="006F1303">
        <w:rPr>
          <w:rFonts w:ascii="Arial" w:hAnsi="Arial" w:cs="Arial"/>
          <w:lang w:val="en-US"/>
        </w:rPr>
        <w:t xml:space="preserve"> in a</w:t>
      </w:r>
      <w:r w:rsidR="00B17724">
        <w:rPr>
          <w:rFonts w:ascii="Arial" w:hAnsi="Arial" w:cs="Arial"/>
          <w:lang w:val="en-US"/>
        </w:rPr>
        <w:t xml:space="preserve"> specific</w:t>
      </w:r>
      <w:r w:rsidRPr="006F1303">
        <w:rPr>
          <w:rFonts w:ascii="Arial" w:hAnsi="Arial" w:cs="Arial"/>
          <w:lang w:val="en-US"/>
        </w:rPr>
        <w:t xml:space="preserve"> Canadian </w:t>
      </w:r>
      <w:r w:rsidR="00B17724">
        <w:rPr>
          <w:rFonts w:ascii="Arial" w:hAnsi="Arial" w:cs="Arial"/>
          <w:lang w:val="en-US"/>
        </w:rPr>
        <w:t xml:space="preserve">community or </w:t>
      </w:r>
      <w:r w:rsidRPr="006F1303">
        <w:rPr>
          <w:rFonts w:ascii="Arial" w:hAnsi="Arial" w:cs="Arial"/>
          <w:lang w:val="en-US"/>
        </w:rPr>
        <w:t>city</w:t>
      </w:r>
      <w:r w:rsidR="0041681F" w:rsidRPr="006F1303">
        <w:rPr>
          <w:rFonts w:ascii="Arial" w:hAnsi="Arial" w:cs="Arial"/>
          <w:lang w:val="en-US"/>
        </w:rPr>
        <w:t>. The case studie</w:t>
      </w:r>
      <w:r w:rsidR="00F423E3" w:rsidRPr="006F1303">
        <w:rPr>
          <w:rFonts w:ascii="Arial" w:hAnsi="Arial" w:cs="Arial"/>
          <w:lang w:val="en-US"/>
        </w:rPr>
        <w:t>s</w:t>
      </w:r>
      <w:r w:rsidR="0041681F" w:rsidRPr="006F1303">
        <w:rPr>
          <w:rFonts w:ascii="Arial" w:hAnsi="Arial" w:cs="Arial"/>
          <w:lang w:val="en-US"/>
        </w:rPr>
        <w:t xml:space="preserve"> are </w:t>
      </w:r>
      <w:r w:rsidRPr="006F1303">
        <w:rPr>
          <w:rFonts w:ascii="Arial" w:hAnsi="Arial" w:cs="Arial"/>
          <w:lang w:val="en-US"/>
        </w:rPr>
        <w:t xml:space="preserve">supported by </w:t>
      </w:r>
      <w:r w:rsidR="00627763" w:rsidRPr="006F1303">
        <w:rPr>
          <w:rFonts w:ascii="Arial" w:hAnsi="Arial" w:cs="Arial"/>
          <w:lang w:val="en-US"/>
        </w:rPr>
        <w:t>learning activities to identify problems, address challenges and communicate potential solution ideas. Embedded within this approach are frameworks to build capacity for engineering leadership</w:t>
      </w:r>
      <w:r w:rsidRPr="006F1303">
        <w:rPr>
          <w:rFonts w:ascii="Arial" w:hAnsi="Arial" w:cs="Arial"/>
          <w:lang w:val="en-US"/>
        </w:rPr>
        <w:t xml:space="preserve"> and </w:t>
      </w:r>
      <w:r w:rsidR="00627763" w:rsidRPr="006F1303">
        <w:rPr>
          <w:rFonts w:ascii="Arial" w:hAnsi="Arial" w:cs="Arial"/>
          <w:lang w:val="en-US"/>
        </w:rPr>
        <w:t>sustainability</w:t>
      </w:r>
      <w:r w:rsidRPr="006F1303">
        <w:rPr>
          <w:rFonts w:ascii="Arial" w:hAnsi="Arial" w:cs="Arial"/>
          <w:lang w:val="en-US"/>
        </w:rPr>
        <w:t>.</w:t>
      </w:r>
      <w:r w:rsidR="00627763" w:rsidRPr="006F1303">
        <w:rPr>
          <w:rFonts w:ascii="Arial" w:hAnsi="Arial" w:cs="Arial"/>
          <w:lang w:val="en-US"/>
        </w:rPr>
        <w:t xml:space="preserve"> Each module </w:t>
      </w:r>
      <w:r w:rsidRPr="006F1303">
        <w:rPr>
          <w:rFonts w:ascii="Arial" w:hAnsi="Arial" w:cs="Arial"/>
          <w:lang w:val="en-US"/>
        </w:rPr>
        <w:t xml:space="preserve">is available in </w:t>
      </w:r>
      <w:r w:rsidR="00627763" w:rsidRPr="006F1303">
        <w:rPr>
          <w:rFonts w:ascii="Arial" w:hAnsi="Arial" w:cs="Arial"/>
          <w:lang w:val="en-US"/>
        </w:rPr>
        <w:t>English and French</w:t>
      </w:r>
      <w:r w:rsidR="0041681F" w:rsidRPr="006F1303">
        <w:rPr>
          <w:rFonts w:ascii="Arial" w:hAnsi="Arial" w:cs="Arial"/>
          <w:lang w:val="en-US"/>
        </w:rPr>
        <w:t>.</w:t>
      </w:r>
    </w:p>
    <w:p w14:paraId="3170E83D" w14:textId="4E84EF1D" w:rsidR="00562EB2" w:rsidRPr="006F1303" w:rsidRDefault="00B54134" w:rsidP="00562EB2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</w:pPr>
      <w:r w:rsidRPr="006F1303"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  <w:t>Structure</w:t>
      </w:r>
    </w:p>
    <w:p w14:paraId="19F5E43A" w14:textId="02E8A136" w:rsidR="0041681F" w:rsidRPr="006F1303" w:rsidRDefault="0041681F" w:rsidP="00810753">
      <w:pPr>
        <w:spacing w:after="120" w:line="240" w:lineRule="auto"/>
        <w:rPr>
          <w:rFonts w:ascii="Arial" w:hAnsi="Arial" w:cs="Arial"/>
          <w:lang w:val="en-US"/>
        </w:rPr>
      </w:pPr>
      <w:r w:rsidRPr="006F1303">
        <w:rPr>
          <w:rFonts w:ascii="Arial" w:hAnsi="Arial" w:cs="Arial"/>
          <w:lang w:val="en-US"/>
        </w:rPr>
        <w:t xml:space="preserve">The </w:t>
      </w:r>
      <w:r w:rsidR="002A4DB7">
        <w:rPr>
          <w:rFonts w:ascii="Arial" w:hAnsi="Arial" w:cs="Arial"/>
          <w:lang w:val="en-US"/>
        </w:rPr>
        <w:t xml:space="preserve">course is </w:t>
      </w:r>
      <w:r w:rsidR="001E4726">
        <w:rPr>
          <w:rFonts w:ascii="Arial" w:hAnsi="Arial" w:cs="Arial"/>
          <w:lang w:val="en-US"/>
        </w:rPr>
        <w:t xml:space="preserve">structured </w:t>
      </w:r>
      <w:r w:rsidR="0021650A">
        <w:rPr>
          <w:rFonts w:ascii="Arial" w:hAnsi="Arial" w:cs="Arial"/>
          <w:lang w:val="en-US"/>
        </w:rPr>
        <w:t>with four major components</w:t>
      </w:r>
      <w:r w:rsidR="00E257D6">
        <w:rPr>
          <w:rFonts w:ascii="Arial" w:hAnsi="Arial" w:cs="Arial"/>
          <w:lang w:val="en-US"/>
        </w:rPr>
        <w:t xml:space="preserve">, consisting of </w:t>
      </w:r>
      <w:r w:rsidR="0021650A">
        <w:rPr>
          <w:rFonts w:ascii="Arial" w:hAnsi="Arial" w:cs="Arial"/>
          <w:lang w:val="en-US"/>
        </w:rPr>
        <w:t xml:space="preserve">a sequence of </w:t>
      </w:r>
      <w:r w:rsidR="00A748A4">
        <w:rPr>
          <w:rFonts w:ascii="Arial" w:hAnsi="Arial" w:cs="Arial"/>
          <w:lang w:val="en-US"/>
        </w:rPr>
        <w:t xml:space="preserve">3 content modules </w:t>
      </w:r>
      <w:r w:rsidR="0021650A">
        <w:rPr>
          <w:rFonts w:ascii="Arial" w:hAnsi="Arial" w:cs="Arial"/>
          <w:lang w:val="en-US"/>
        </w:rPr>
        <w:t xml:space="preserve">and </w:t>
      </w:r>
      <w:r w:rsidR="000E74BA">
        <w:rPr>
          <w:rFonts w:ascii="Arial" w:hAnsi="Arial" w:cs="Arial"/>
          <w:lang w:val="en-US"/>
        </w:rPr>
        <w:t>a Toolkit for Educators</w:t>
      </w:r>
      <w:r w:rsidR="0021650A">
        <w:rPr>
          <w:rFonts w:ascii="Arial" w:hAnsi="Arial" w:cs="Arial"/>
          <w:lang w:val="en-US"/>
        </w:rPr>
        <w:t xml:space="preserve">.  </w:t>
      </w:r>
      <w:r w:rsidR="00E257D6">
        <w:rPr>
          <w:rFonts w:ascii="Arial" w:hAnsi="Arial" w:cs="Arial"/>
          <w:lang w:val="en-US"/>
        </w:rPr>
        <w:t xml:space="preserve">The components are: </w:t>
      </w:r>
    </w:p>
    <w:p w14:paraId="7C1B8AEB" w14:textId="1C44F9F9" w:rsidR="0041681F" w:rsidRPr="000C5DF5" w:rsidRDefault="00E257D6" w:rsidP="00810753">
      <w:pPr>
        <w:pStyle w:val="ListParagraph"/>
        <w:numPr>
          <w:ilvl w:val="0"/>
          <w:numId w:val="21"/>
        </w:numPr>
        <w:spacing w:after="120" w:line="240" w:lineRule="auto"/>
        <w:rPr>
          <w:rFonts w:ascii="Arial" w:hAnsi="Arial" w:cs="Arial"/>
          <w:lang w:val="en-US"/>
        </w:rPr>
      </w:pPr>
      <w:r w:rsidRPr="000C5DF5">
        <w:rPr>
          <w:rFonts w:ascii="Arial" w:hAnsi="Arial" w:cs="Arial"/>
          <w:i/>
          <w:iCs/>
          <w:lang w:val="en-US"/>
        </w:rPr>
        <w:t xml:space="preserve">Module 1: </w:t>
      </w:r>
      <w:r w:rsidR="00E509F8" w:rsidRPr="000C5DF5">
        <w:rPr>
          <w:rFonts w:ascii="Arial" w:hAnsi="Arial" w:cs="Arial"/>
          <w:i/>
          <w:iCs/>
          <w:lang w:val="en-US"/>
        </w:rPr>
        <w:t>C</w:t>
      </w:r>
      <w:r w:rsidR="002D7517" w:rsidRPr="000C5DF5">
        <w:rPr>
          <w:rFonts w:ascii="Arial" w:hAnsi="Arial" w:cs="Arial"/>
          <w:i/>
          <w:iCs/>
          <w:lang w:val="en-US"/>
        </w:rPr>
        <w:t>anadian Engineering Grand Challenges</w:t>
      </w:r>
      <w:r w:rsidR="000C5DF5" w:rsidRPr="000C5DF5">
        <w:rPr>
          <w:rFonts w:ascii="Arial" w:hAnsi="Arial" w:cs="Arial"/>
          <w:i/>
          <w:iCs/>
          <w:lang w:val="en-US"/>
        </w:rPr>
        <w:t xml:space="preserve"> (CEGC)</w:t>
      </w:r>
    </w:p>
    <w:p w14:paraId="538A3B82" w14:textId="317D35F6" w:rsidR="00562EB2" w:rsidRPr="000C5DF5" w:rsidRDefault="00E257D6" w:rsidP="00810753">
      <w:pPr>
        <w:pStyle w:val="ListParagraph"/>
        <w:numPr>
          <w:ilvl w:val="0"/>
          <w:numId w:val="21"/>
        </w:numPr>
        <w:spacing w:after="120" w:line="240" w:lineRule="auto"/>
        <w:rPr>
          <w:rFonts w:ascii="Arial" w:hAnsi="Arial" w:cs="Arial"/>
          <w:lang w:val="en-US"/>
        </w:rPr>
      </w:pPr>
      <w:r w:rsidRPr="000C5DF5">
        <w:rPr>
          <w:rFonts w:ascii="Arial" w:hAnsi="Arial" w:cs="Arial"/>
          <w:i/>
          <w:iCs/>
          <w:lang w:val="en-US"/>
        </w:rPr>
        <w:t xml:space="preserve">Module 2: </w:t>
      </w:r>
      <w:r w:rsidR="00E509F8" w:rsidRPr="000C5DF5">
        <w:rPr>
          <w:rFonts w:ascii="Arial" w:hAnsi="Arial" w:cs="Arial"/>
          <w:i/>
          <w:iCs/>
          <w:lang w:val="en-US"/>
        </w:rPr>
        <w:t>Cities and Communities</w:t>
      </w:r>
      <w:r w:rsidR="000C5DF5" w:rsidRPr="000C5DF5">
        <w:rPr>
          <w:rFonts w:ascii="Arial" w:hAnsi="Arial" w:cs="Arial"/>
          <w:i/>
          <w:iCs/>
          <w:lang w:val="en-US"/>
        </w:rPr>
        <w:t xml:space="preserve"> </w:t>
      </w:r>
    </w:p>
    <w:p w14:paraId="75D4446E" w14:textId="4EBA1D04" w:rsidR="0041681F" w:rsidRPr="000C5DF5" w:rsidRDefault="00BB5804" w:rsidP="00810753">
      <w:pPr>
        <w:pStyle w:val="ListParagraph"/>
        <w:numPr>
          <w:ilvl w:val="0"/>
          <w:numId w:val="21"/>
        </w:numPr>
        <w:spacing w:after="120" w:line="240" w:lineRule="auto"/>
        <w:rPr>
          <w:rFonts w:ascii="Arial" w:hAnsi="Arial" w:cs="Arial"/>
          <w:lang w:val="en-US"/>
        </w:rPr>
      </w:pPr>
      <w:r w:rsidRPr="000C5DF5">
        <w:rPr>
          <w:rFonts w:ascii="Arial" w:hAnsi="Arial" w:cs="Arial"/>
          <w:i/>
          <w:iCs/>
          <w:lang w:val="en-US"/>
        </w:rPr>
        <w:t>Module 3:</w:t>
      </w:r>
      <w:r w:rsidR="00DB596E" w:rsidRPr="000C5DF5">
        <w:rPr>
          <w:rFonts w:ascii="Arial" w:hAnsi="Arial" w:cs="Arial"/>
          <w:i/>
          <w:iCs/>
          <w:lang w:val="en-US"/>
        </w:rPr>
        <w:t xml:space="preserve"> </w:t>
      </w:r>
      <w:r w:rsidR="00F55088" w:rsidRPr="000C5DF5">
        <w:rPr>
          <w:rFonts w:ascii="Arial" w:hAnsi="Arial" w:cs="Arial"/>
          <w:i/>
          <w:iCs/>
          <w:lang w:val="en-US"/>
        </w:rPr>
        <w:t>Engineering Leadership</w:t>
      </w:r>
    </w:p>
    <w:p w14:paraId="77DF13A5" w14:textId="5C9616D7" w:rsidR="0041681F" w:rsidRPr="000C5DF5" w:rsidRDefault="00F352DA" w:rsidP="00810753">
      <w:pPr>
        <w:pStyle w:val="ListParagraph"/>
        <w:numPr>
          <w:ilvl w:val="0"/>
          <w:numId w:val="21"/>
        </w:numPr>
        <w:spacing w:after="120" w:line="240" w:lineRule="auto"/>
        <w:rPr>
          <w:rFonts w:ascii="Arial" w:hAnsi="Arial" w:cs="Arial"/>
          <w:lang w:val="en-US"/>
        </w:rPr>
      </w:pPr>
      <w:r w:rsidRPr="000C5DF5">
        <w:rPr>
          <w:rFonts w:ascii="Arial" w:hAnsi="Arial" w:cs="Arial"/>
          <w:i/>
          <w:iCs/>
          <w:lang w:val="en-US"/>
        </w:rPr>
        <w:t>Toolkit</w:t>
      </w:r>
      <w:r w:rsidR="000E74BA">
        <w:rPr>
          <w:rFonts w:ascii="Arial" w:hAnsi="Arial" w:cs="Arial"/>
          <w:i/>
          <w:iCs/>
          <w:lang w:val="en-US"/>
        </w:rPr>
        <w:t xml:space="preserve"> for Educators</w:t>
      </w:r>
      <w:r w:rsidR="004356DC" w:rsidRPr="000C5DF5">
        <w:rPr>
          <w:rFonts w:ascii="Arial" w:hAnsi="Arial" w:cs="Arial"/>
          <w:lang w:val="en-US"/>
        </w:rPr>
        <w:t xml:space="preserve"> </w:t>
      </w:r>
    </w:p>
    <w:p w14:paraId="3D666B52" w14:textId="54F9605A" w:rsidR="001B74EF" w:rsidRPr="006F1303" w:rsidRDefault="001B74EF" w:rsidP="00810753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</w:pPr>
      <w:r w:rsidRPr="006F1303"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  <w:t>Learning Objectives</w:t>
      </w:r>
    </w:p>
    <w:p w14:paraId="151E0466" w14:textId="02476A19" w:rsidR="009715DD" w:rsidRPr="006F1303" w:rsidRDefault="0079022C" w:rsidP="00810753">
      <w:p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overall learning objects for the series of modules and activities are </w:t>
      </w:r>
      <w:r w:rsidR="0003091E" w:rsidRPr="006F1303">
        <w:rPr>
          <w:rFonts w:ascii="Arial" w:hAnsi="Arial" w:cs="Arial"/>
          <w:lang w:val="en-US"/>
        </w:rPr>
        <w:t>for students</w:t>
      </w:r>
      <w:r w:rsidR="009715DD" w:rsidRPr="006F1303">
        <w:rPr>
          <w:rFonts w:ascii="Arial" w:hAnsi="Arial" w:cs="Arial"/>
          <w:lang w:val="en-US"/>
        </w:rPr>
        <w:t xml:space="preserve"> to:</w:t>
      </w:r>
    </w:p>
    <w:p w14:paraId="3C25030A" w14:textId="04F72108" w:rsidR="00154BCF" w:rsidRPr="006F1303" w:rsidRDefault="009715DD" w:rsidP="00810753">
      <w:pPr>
        <w:pStyle w:val="ListParagraph"/>
        <w:numPr>
          <w:ilvl w:val="0"/>
          <w:numId w:val="19"/>
        </w:numPr>
        <w:spacing w:after="120" w:line="240" w:lineRule="auto"/>
        <w:rPr>
          <w:rFonts w:ascii="Arial" w:hAnsi="Arial" w:cs="Arial"/>
          <w:lang w:val="en-US"/>
        </w:rPr>
      </w:pPr>
      <w:r w:rsidRPr="006F1303">
        <w:rPr>
          <w:rFonts w:ascii="Arial" w:hAnsi="Arial" w:cs="Arial"/>
          <w:lang w:val="en-US"/>
        </w:rPr>
        <w:t xml:space="preserve">Develop awareness of </w:t>
      </w:r>
      <w:r w:rsidR="00154BCF" w:rsidRPr="006F1303">
        <w:rPr>
          <w:rFonts w:ascii="Arial" w:hAnsi="Arial" w:cs="Arial"/>
          <w:lang w:val="en-US"/>
        </w:rPr>
        <w:t>sociotechnical engineering grand challenges in the context Canadian Engineering Grand Challenges (CEGC)</w:t>
      </w:r>
      <w:r w:rsidR="00986C50" w:rsidRPr="006F1303">
        <w:rPr>
          <w:rFonts w:ascii="Arial" w:hAnsi="Arial" w:cs="Arial"/>
          <w:lang w:val="en-US"/>
        </w:rPr>
        <w:t>.</w:t>
      </w:r>
    </w:p>
    <w:p w14:paraId="0E84BD1F" w14:textId="17BAEB1A" w:rsidR="0003091E" w:rsidRPr="006F1303" w:rsidRDefault="007C0420" w:rsidP="00810753">
      <w:pPr>
        <w:pStyle w:val="ListParagraph"/>
        <w:numPr>
          <w:ilvl w:val="0"/>
          <w:numId w:val="19"/>
        </w:numPr>
        <w:spacing w:after="120" w:line="240" w:lineRule="auto"/>
        <w:rPr>
          <w:rFonts w:ascii="Arial" w:hAnsi="Arial" w:cs="Arial"/>
          <w:lang w:val="en-US"/>
        </w:rPr>
      </w:pPr>
      <w:r w:rsidRPr="006F1303">
        <w:rPr>
          <w:rFonts w:ascii="Arial" w:hAnsi="Arial" w:cs="Arial"/>
          <w:lang w:val="en-US"/>
        </w:rPr>
        <w:t xml:space="preserve">Explore the complexity of CEGC through the review </w:t>
      </w:r>
      <w:r w:rsidR="00F17BA1" w:rsidRPr="006F1303">
        <w:rPr>
          <w:rFonts w:ascii="Arial" w:hAnsi="Arial" w:cs="Arial"/>
          <w:lang w:val="en-US"/>
        </w:rPr>
        <w:t>of case studies based on current issues in Canadian cities.</w:t>
      </w:r>
    </w:p>
    <w:p w14:paraId="7407D37E" w14:textId="375065BF" w:rsidR="0070680A" w:rsidRPr="006F1303" w:rsidRDefault="00F37FB6" w:rsidP="00810753">
      <w:pPr>
        <w:pStyle w:val="ListParagraph"/>
        <w:numPr>
          <w:ilvl w:val="0"/>
          <w:numId w:val="19"/>
        </w:numPr>
        <w:spacing w:after="120" w:line="240" w:lineRule="auto"/>
        <w:rPr>
          <w:rFonts w:ascii="Arial" w:hAnsi="Arial" w:cs="Arial"/>
          <w:lang w:val="en-US"/>
        </w:rPr>
      </w:pPr>
      <w:r w:rsidRPr="006F1303">
        <w:rPr>
          <w:rFonts w:ascii="Arial" w:hAnsi="Arial" w:cs="Arial"/>
          <w:lang w:val="en-US"/>
        </w:rPr>
        <w:t xml:space="preserve">Explore the concept of the </w:t>
      </w:r>
      <w:r w:rsidR="00445BC8" w:rsidRPr="006F1303">
        <w:rPr>
          <w:rFonts w:ascii="Arial" w:hAnsi="Arial" w:cs="Arial"/>
          <w:lang w:val="en-US"/>
        </w:rPr>
        <w:t>leadership role</w:t>
      </w:r>
      <w:r w:rsidR="005F2DC2" w:rsidRPr="006F1303">
        <w:rPr>
          <w:rFonts w:ascii="Arial" w:hAnsi="Arial" w:cs="Arial"/>
          <w:lang w:val="en-US"/>
        </w:rPr>
        <w:t>s</w:t>
      </w:r>
      <w:r w:rsidR="00445BC8" w:rsidRPr="006F1303">
        <w:rPr>
          <w:rFonts w:ascii="Arial" w:hAnsi="Arial" w:cs="Arial"/>
          <w:lang w:val="en-US"/>
        </w:rPr>
        <w:t xml:space="preserve"> that an engineer can play in </w:t>
      </w:r>
      <w:r w:rsidR="00657A35" w:rsidRPr="006F1303">
        <w:rPr>
          <w:rFonts w:ascii="Arial" w:hAnsi="Arial" w:cs="Arial"/>
          <w:lang w:val="en-US"/>
        </w:rPr>
        <w:t xml:space="preserve">creating solutions to complex </w:t>
      </w:r>
      <w:r w:rsidRPr="006F1303">
        <w:rPr>
          <w:rFonts w:ascii="Arial" w:hAnsi="Arial" w:cs="Arial"/>
          <w:lang w:val="en-US"/>
        </w:rPr>
        <w:t xml:space="preserve">roles of engineers as </w:t>
      </w:r>
      <w:r w:rsidR="00445BC8" w:rsidRPr="006F1303">
        <w:rPr>
          <w:rFonts w:ascii="Arial" w:hAnsi="Arial" w:cs="Arial"/>
          <w:lang w:val="en-US"/>
        </w:rPr>
        <w:t xml:space="preserve">sociotechnical leaders </w:t>
      </w:r>
      <w:r w:rsidRPr="006F1303">
        <w:rPr>
          <w:rFonts w:ascii="Arial" w:hAnsi="Arial" w:cs="Arial"/>
          <w:lang w:val="en-US"/>
        </w:rPr>
        <w:t>engineering leadership</w:t>
      </w:r>
      <w:r w:rsidR="005F2DC2" w:rsidRPr="006F1303">
        <w:rPr>
          <w:rFonts w:ascii="Arial" w:hAnsi="Arial" w:cs="Arial"/>
          <w:lang w:val="en-US"/>
        </w:rPr>
        <w:t>.</w:t>
      </w:r>
      <w:r w:rsidRPr="006F1303">
        <w:rPr>
          <w:rFonts w:ascii="Arial" w:hAnsi="Arial" w:cs="Arial"/>
          <w:lang w:val="en-US"/>
        </w:rPr>
        <w:t xml:space="preserve"> </w:t>
      </w:r>
    </w:p>
    <w:p w14:paraId="7C3031FC" w14:textId="0E569FBE" w:rsidR="0070680A" w:rsidRDefault="005F2DC2" w:rsidP="00810753">
      <w:pPr>
        <w:pStyle w:val="ListParagraph"/>
        <w:numPr>
          <w:ilvl w:val="0"/>
          <w:numId w:val="19"/>
        </w:numPr>
        <w:spacing w:after="120" w:line="240" w:lineRule="auto"/>
        <w:rPr>
          <w:rFonts w:ascii="Arial" w:hAnsi="Arial" w:cs="Arial"/>
          <w:lang w:val="en-US"/>
        </w:rPr>
      </w:pPr>
      <w:r w:rsidRPr="006F1303">
        <w:rPr>
          <w:rFonts w:ascii="Arial" w:hAnsi="Arial" w:cs="Arial"/>
          <w:lang w:val="en-US"/>
        </w:rPr>
        <w:t xml:space="preserve">Identify and </w:t>
      </w:r>
      <w:r w:rsidR="00337C83" w:rsidRPr="006F1303">
        <w:rPr>
          <w:rFonts w:ascii="Arial" w:hAnsi="Arial" w:cs="Arial"/>
          <w:lang w:val="en-US"/>
        </w:rPr>
        <w:t>develop skills and attitudes to advance their own leadership development.</w:t>
      </w:r>
    </w:p>
    <w:p w14:paraId="6252851E" w14:textId="1B9B7232" w:rsidR="0079022C" w:rsidRPr="006F1303" w:rsidRDefault="00DD623B" w:rsidP="0079022C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</w:pPr>
      <w:bookmarkStart w:id="0" w:name="_GoBack"/>
      <w:bookmarkEnd w:id="0"/>
      <w:r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  <w:lastRenderedPageBreak/>
        <w:t>Lesson</w:t>
      </w:r>
      <w:r w:rsidR="00D15CAD"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  <w:t xml:space="preserve"> </w:t>
      </w:r>
      <w:r w:rsidR="000C2403"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  <w:t>Structure</w:t>
      </w:r>
    </w:p>
    <w:p w14:paraId="64B09273" w14:textId="241D5A19" w:rsidR="00E87DFC" w:rsidRPr="006F1303" w:rsidRDefault="00E87DFC" w:rsidP="00810753">
      <w:pPr>
        <w:spacing w:after="120" w:line="240" w:lineRule="auto"/>
        <w:rPr>
          <w:rFonts w:ascii="Arial" w:hAnsi="Arial" w:cs="Arial"/>
          <w:lang w:val="en-US"/>
        </w:rPr>
      </w:pPr>
      <w:r w:rsidRPr="006F1303">
        <w:rPr>
          <w:rFonts w:ascii="Arial" w:hAnsi="Arial" w:cs="Arial"/>
          <w:lang w:val="en-US"/>
        </w:rPr>
        <w:t>The structure allows for instructors to explore the CEGC and development of leadership skill</w:t>
      </w:r>
      <w:r w:rsidR="000E74BA">
        <w:rPr>
          <w:rFonts w:ascii="Arial" w:hAnsi="Arial" w:cs="Arial"/>
          <w:lang w:val="en-US"/>
        </w:rPr>
        <w:t>s</w:t>
      </w:r>
      <w:r w:rsidR="00F95277">
        <w:rPr>
          <w:rFonts w:ascii="Arial" w:hAnsi="Arial" w:cs="Arial"/>
          <w:lang w:val="en-US"/>
        </w:rPr>
        <w:t>, first by providing introductory background to CEGC and Engineering Leadership.  Following the background</w:t>
      </w:r>
      <w:r w:rsidR="008B1783">
        <w:rPr>
          <w:rFonts w:ascii="Arial" w:hAnsi="Arial" w:cs="Arial"/>
          <w:lang w:val="en-US"/>
        </w:rPr>
        <w:t xml:space="preserve"> information delivery, instructors can </w:t>
      </w:r>
      <w:r w:rsidRPr="006F1303">
        <w:rPr>
          <w:rFonts w:ascii="Arial" w:hAnsi="Arial" w:cs="Arial"/>
          <w:lang w:val="en-US"/>
        </w:rPr>
        <w:t xml:space="preserve">identify a case study for one or several </w:t>
      </w:r>
      <w:r w:rsidR="0094627F">
        <w:rPr>
          <w:rFonts w:ascii="Arial" w:hAnsi="Arial" w:cs="Arial"/>
          <w:lang w:val="en-US"/>
        </w:rPr>
        <w:t xml:space="preserve">cities or communities for </w:t>
      </w:r>
      <w:r w:rsidRPr="006F1303">
        <w:rPr>
          <w:rFonts w:ascii="Arial" w:hAnsi="Arial" w:cs="Arial"/>
          <w:lang w:val="en-US"/>
        </w:rPr>
        <w:t xml:space="preserve">each CECG, and </w:t>
      </w:r>
      <w:r w:rsidR="0094627F">
        <w:rPr>
          <w:rFonts w:ascii="Arial" w:hAnsi="Arial" w:cs="Arial"/>
          <w:lang w:val="en-US"/>
        </w:rPr>
        <w:t>work through the lesson activities for the case study.</w:t>
      </w:r>
    </w:p>
    <w:p w14:paraId="761DAE53" w14:textId="15162CBA" w:rsidR="000359BE" w:rsidRDefault="00DD623B" w:rsidP="00810753">
      <w:p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D15CAD">
        <w:rPr>
          <w:rFonts w:ascii="Arial" w:hAnsi="Arial" w:cs="Arial"/>
          <w:lang w:val="en-US"/>
        </w:rPr>
        <w:t xml:space="preserve">content provided in Modules </w:t>
      </w:r>
      <w:r w:rsidR="00A41933">
        <w:rPr>
          <w:rFonts w:ascii="Arial" w:hAnsi="Arial" w:cs="Arial"/>
          <w:lang w:val="en-US"/>
        </w:rPr>
        <w:t xml:space="preserve">1, 2 and 3 </w:t>
      </w:r>
      <w:r w:rsidR="00617C49">
        <w:rPr>
          <w:rFonts w:ascii="Arial" w:hAnsi="Arial" w:cs="Arial"/>
          <w:lang w:val="en-US"/>
        </w:rPr>
        <w:t>provide the back</w:t>
      </w:r>
      <w:r w:rsidR="00A41933">
        <w:rPr>
          <w:rFonts w:ascii="Arial" w:hAnsi="Arial" w:cs="Arial"/>
          <w:lang w:val="en-US"/>
        </w:rPr>
        <w:t xml:space="preserve">ground </w:t>
      </w:r>
      <w:r w:rsidR="00617C49">
        <w:rPr>
          <w:rFonts w:ascii="Arial" w:hAnsi="Arial" w:cs="Arial"/>
          <w:lang w:val="en-US"/>
        </w:rPr>
        <w:t xml:space="preserve">for lessons that an instructor can incorporate into their </w:t>
      </w:r>
      <w:r w:rsidR="0011129D">
        <w:rPr>
          <w:rFonts w:ascii="Arial" w:hAnsi="Arial" w:cs="Arial"/>
          <w:lang w:val="en-US"/>
        </w:rPr>
        <w:t xml:space="preserve">courses as stand-alone exercises or to enhance discussion as they relate to exploring the engineer’s role in addressing complex sociotechnical challenges such as the CEGC. </w:t>
      </w:r>
    </w:p>
    <w:p w14:paraId="319F2F89" w14:textId="04C364F9" w:rsidR="000359BE" w:rsidRDefault="002D7517" w:rsidP="00810753">
      <w:p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AC281B">
        <w:rPr>
          <w:rFonts w:ascii="Arial" w:hAnsi="Arial" w:cs="Arial"/>
          <w:lang w:val="en-US"/>
        </w:rPr>
        <w:t>following lessons have been developed that an instructor can use or modify to suit their specific requir</w:t>
      </w:r>
      <w:r w:rsidR="00DE5459">
        <w:rPr>
          <w:rFonts w:ascii="Arial" w:hAnsi="Arial" w:cs="Arial"/>
          <w:lang w:val="en-US"/>
        </w:rPr>
        <w:t>ements</w:t>
      </w:r>
      <w:r>
        <w:rPr>
          <w:rFonts w:ascii="Arial" w:hAnsi="Arial" w:cs="Arial"/>
          <w:lang w:val="en-US"/>
        </w:rPr>
        <w:t>:</w:t>
      </w:r>
    </w:p>
    <w:p w14:paraId="72D5AFA1" w14:textId="62EE9CC8" w:rsidR="002D7517" w:rsidRPr="00753E3C" w:rsidRDefault="00DE5459" w:rsidP="00D0065A">
      <w:pPr>
        <w:pStyle w:val="ListParagraph"/>
        <w:numPr>
          <w:ilvl w:val="0"/>
          <w:numId w:val="22"/>
        </w:numPr>
        <w:spacing w:after="120" w:line="240" w:lineRule="auto"/>
        <w:ind w:left="567"/>
        <w:rPr>
          <w:rFonts w:ascii="Arial" w:hAnsi="Arial" w:cs="Arial"/>
          <w:lang w:val="en-US"/>
        </w:rPr>
      </w:pPr>
      <w:r w:rsidRPr="00753E3C">
        <w:rPr>
          <w:rFonts w:ascii="Arial" w:hAnsi="Arial" w:cs="Arial"/>
          <w:i/>
          <w:iCs/>
          <w:lang w:val="en-US"/>
        </w:rPr>
        <w:t>Lesson 1</w:t>
      </w:r>
      <w:r w:rsidR="002D7517" w:rsidRPr="00753E3C">
        <w:rPr>
          <w:rFonts w:ascii="Arial" w:hAnsi="Arial" w:cs="Arial"/>
          <w:i/>
          <w:iCs/>
          <w:lang w:val="en-US"/>
        </w:rPr>
        <w:t xml:space="preserve">: </w:t>
      </w:r>
      <w:r w:rsidR="00E71FA5">
        <w:rPr>
          <w:rFonts w:ascii="Arial" w:hAnsi="Arial" w:cs="Arial"/>
          <w:i/>
          <w:iCs/>
          <w:lang w:val="en-US"/>
        </w:rPr>
        <w:t xml:space="preserve">Exploring </w:t>
      </w:r>
      <w:r w:rsidRPr="00753E3C">
        <w:rPr>
          <w:rFonts w:ascii="Arial" w:hAnsi="Arial" w:cs="Arial"/>
          <w:i/>
          <w:iCs/>
          <w:lang w:val="en-US"/>
        </w:rPr>
        <w:t>the Canadian Engineering Grand Challenges</w:t>
      </w:r>
      <w:r w:rsidR="00D0065A">
        <w:rPr>
          <w:rFonts w:ascii="Arial" w:hAnsi="Arial" w:cs="Arial"/>
          <w:i/>
          <w:iCs/>
          <w:lang w:val="en-US"/>
        </w:rPr>
        <w:t xml:space="preserve"> </w:t>
      </w:r>
      <w:r w:rsidR="00D0065A" w:rsidRPr="0083326F">
        <w:rPr>
          <w:rFonts w:ascii="Arial" w:hAnsi="Arial" w:cs="Arial"/>
          <w:b/>
          <w:bCs/>
          <w:i/>
          <w:iCs/>
          <w:lang w:val="en-US"/>
        </w:rPr>
        <w:t>(15 minutes)</w:t>
      </w:r>
    </w:p>
    <w:p w14:paraId="0ABFA5C2" w14:textId="006A6753" w:rsidR="002D7517" w:rsidRPr="00753E3C" w:rsidRDefault="00DE5459" w:rsidP="00D0065A">
      <w:pPr>
        <w:pStyle w:val="ListParagraph"/>
        <w:numPr>
          <w:ilvl w:val="0"/>
          <w:numId w:val="22"/>
        </w:numPr>
        <w:spacing w:after="120" w:line="240" w:lineRule="auto"/>
        <w:ind w:left="567"/>
        <w:rPr>
          <w:rFonts w:ascii="Arial" w:hAnsi="Arial" w:cs="Arial"/>
          <w:lang w:val="en-US"/>
        </w:rPr>
      </w:pPr>
      <w:r w:rsidRPr="00753E3C">
        <w:rPr>
          <w:rFonts w:ascii="Arial" w:hAnsi="Arial" w:cs="Arial"/>
          <w:i/>
          <w:iCs/>
          <w:lang w:val="en-US"/>
        </w:rPr>
        <w:t>Lesson 2:</w:t>
      </w:r>
      <w:r w:rsidR="00176E52" w:rsidRPr="00753E3C">
        <w:rPr>
          <w:rFonts w:ascii="Arial" w:hAnsi="Arial" w:cs="Arial"/>
          <w:i/>
          <w:iCs/>
          <w:lang w:val="en-US"/>
        </w:rPr>
        <w:t xml:space="preserve"> Examining </w:t>
      </w:r>
      <w:r w:rsidR="00DA3B19" w:rsidRPr="00753E3C">
        <w:rPr>
          <w:rFonts w:ascii="Arial" w:hAnsi="Arial" w:cs="Arial"/>
          <w:i/>
          <w:iCs/>
          <w:lang w:val="en-US"/>
        </w:rPr>
        <w:t xml:space="preserve">CEGC through </w:t>
      </w:r>
      <w:r w:rsidR="002D7517" w:rsidRPr="00753E3C">
        <w:rPr>
          <w:rFonts w:ascii="Arial" w:hAnsi="Arial" w:cs="Arial"/>
          <w:i/>
          <w:iCs/>
          <w:lang w:val="en-US"/>
        </w:rPr>
        <w:t>Cit</w:t>
      </w:r>
      <w:r w:rsidR="00176E52" w:rsidRPr="00753E3C">
        <w:rPr>
          <w:rFonts w:ascii="Arial" w:hAnsi="Arial" w:cs="Arial"/>
          <w:i/>
          <w:iCs/>
          <w:lang w:val="en-US"/>
        </w:rPr>
        <w:t>y</w:t>
      </w:r>
      <w:r w:rsidR="002D7517" w:rsidRPr="00753E3C">
        <w:rPr>
          <w:rFonts w:ascii="Arial" w:hAnsi="Arial" w:cs="Arial"/>
          <w:i/>
          <w:iCs/>
          <w:lang w:val="en-US"/>
        </w:rPr>
        <w:t xml:space="preserve"> and Communit</w:t>
      </w:r>
      <w:r w:rsidR="00176E52" w:rsidRPr="00753E3C">
        <w:rPr>
          <w:rFonts w:ascii="Arial" w:hAnsi="Arial" w:cs="Arial"/>
          <w:i/>
          <w:iCs/>
          <w:lang w:val="en-US"/>
        </w:rPr>
        <w:t xml:space="preserve">y Case </w:t>
      </w:r>
      <w:r w:rsidR="00DA3B19" w:rsidRPr="00753E3C">
        <w:rPr>
          <w:rFonts w:ascii="Arial" w:hAnsi="Arial" w:cs="Arial"/>
          <w:i/>
          <w:iCs/>
          <w:lang w:val="en-US"/>
        </w:rPr>
        <w:t>Studies</w:t>
      </w:r>
      <w:r w:rsidR="00D0065A">
        <w:rPr>
          <w:rFonts w:ascii="Arial" w:hAnsi="Arial" w:cs="Arial"/>
          <w:i/>
          <w:iCs/>
          <w:lang w:val="en-US"/>
        </w:rPr>
        <w:t xml:space="preserve"> </w:t>
      </w:r>
      <w:r w:rsidR="00D0065A" w:rsidRPr="0083326F">
        <w:rPr>
          <w:rFonts w:ascii="Arial" w:hAnsi="Arial" w:cs="Arial"/>
          <w:b/>
          <w:bCs/>
          <w:i/>
          <w:iCs/>
          <w:lang w:val="en-US"/>
        </w:rPr>
        <w:t>(15 minutes)</w:t>
      </w:r>
    </w:p>
    <w:p w14:paraId="7546B719" w14:textId="65265C01" w:rsidR="002D7517" w:rsidRPr="00000C70" w:rsidRDefault="00DA3B19" w:rsidP="00D0065A">
      <w:pPr>
        <w:pStyle w:val="ListParagraph"/>
        <w:numPr>
          <w:ilvl w:val="0"/>
          <w:numId w:val="22"/>
        </w:numPr>
        <w:spacing w:after="120" w:line="240" w:lineRule="auto"/>
        <w:ind w:left="567"/>
        <w:rPr>
          <w:rFonts w:ascii="Arial" w:hAnsi="Arial" w:cs="Arial"/>
          <w:lang w:val="en-US"/>
        </w:rPr>
      </w:pPr>
      <w:r w:rsidRPr="00000C70">
        <w:rPr>
          <w:rFonts w:ascii="Arial" w:hAnsi="Arial" w:cs="Arial"/>
          <w:i/>
          <w:iCs/>
          <w:lang w:val="en-US"/>
        </w:rPr>
        <w:t xml:space="preserve">Lesson 3: Self Leadership </w:t>
      </w:r>
      <w:r w:rsidR="0033623F" w:rsidRPr="00000C70">
        <w:rPr>
          <w:rFonts w:ascii="Arial" w:hAnsi="Arial" w:cs="Arial"/>
          <w:i/>
          <w:iCs/>
          <w:lang w:val="en-US"/>
        </w:rPr>
        <w:t>– Exploring your Personal Values</w:t>
      </w:r>
      <w:r w:rsidR="00000C70" w:rsidRPr="00000C70">
        <w:rPr>
          <w:rFonts w:ascii="Arial" w:hAnsi="Arial" w:cs="Arial"/>
          <w:i/>
          <w:iCs/>
          <w:lang w:val="en-US"/>
        </w:rPr>
        <w:t xml:space="preserve"> and </w:t>
      </w:r>
      <w:r w:rsidR="00753E3C" w:rsidRPr="00000C70">
        <w:rPr>
          <w:rFonts w:ascii="Arial" w:hAnsi="Arial" w:cs="Arial"/>
          <w:i/>
          <w:iCs/>
          <w:lang w:val="en-US"/>
        </w:rPr>
        <w:t xml:space="preserve">Examining your </w:t>
      </w:r>
      <w:r w:rsidR="004E4E05">
        <w:rPr>
          <w:rFonts w:ascii="Arial" w:hAnsi="Arial" w:cs="Arial"/>
          <w:i/>
          <w:iCs/>
          <w:lang w:val="en-US"/>
        </w:rPr>
        <w:t>V</w:t>
      </w:r>
      <w:r w:rsidR="00753E3C" w:rsidRPr="00000C70">
        <w:rPr>
          <w:rFonts w:ascii="Arial" w:hAnsi="Arial" w:cs="Arial"/>
          <w:i/>
          <w:iCs/>
          <w:lang w:val="en-US"/>
        </w:rPr>
        <w:t xml:space="preserve">alues in the </w:t>
      </w:r>
      <w:r w:rsidR="004E4E05">
        <w:rPr>
          <w:rFonts w:ascii="Arial" w:hAnsi="Arial" w:cs="Arial"/>
          <w:i/>
          <w:iCs/>
          <w:lang w:val="en-US"/>
        </w:rPr>
        <w:t>C</w:t>
      </w:r>
      <w:r w:rsidR="00753E3C" w:rsidRPr="00000C70">
        <w:rPr>
          <w:rFonts w:ascii="Arial" w:hAnsi="Arial" w:cs="Arial"/>
          <w:i/>
          <w:iCs/>
          <w:lang w:val="en-US"/>
        </w:rPr>
        <w:t>ontext of the CEGC</w:t>
      </w:r>
      <w:r w:rsidR="0088139A" w:rsidRPr="00000C70">
        <w:rPr>
          <w:rFonts w:ascii="Arial" w:hAnsi="Arial" w:cs="Arial"/>
          <w:i/>
          <w:iCs/>
          <w:lang w:val="en-US"/>
        </w:rPr>
        <w:t>.</w:t>
      </w:r>
      <w:r w:rsidR="00D0065A">
        <w:rPr>
          <w:rFonts w:ascii="Arial" w:hAnsi="Arial" w:cs="Arial"/>
          <w:i/>
          <w:iCs/>
          <w:lang w:val="en-US"/>
        </w:rPr>
        <w:t xml:space="preserve"> </w:t>
      </w:r>
      <w:r w:rsidR="00D0065A" w:rsidRPr="0083326F">
        <w:rPr>
          <w:rFonts w:ascii="Arial" w:hAnsi="Arial" w:cs="Arial"/>
          <w:b/>
          <w:bCs/>
          <w:i/>
          <w:iCs/>
          <w:lang w:val="en-US"/>
        </w:rPr>
        <w:t>(45</w:t>
      </w:r>
      <w:r w:rsidR="00474100" w:rsidRPr="0083326F">
        <w:rPr>
          <w:rFonts w:ascii="Arial" w:hAnsi="Arial" w:cs="Arial"/>
          <w:b/>
          <w:bCs/>
          <w:i/>
          <w:iCs/>
          <w:lang w:val="en-US"/>
        </w:rPr>
        <w:t xml:space="preserve"> min</w:t>
      </w:r>
      <w:r w:rsidR="00A77D36">
        <w:rPr>
          <w:rFonts w:ascii="Arial" w:hAnsi="Arial" w:cs="Arial"/>
          <w:b/>
          <w:bCs/>
          <w:i/>
          <w:iCs/>
          <w:lang w:val="en-US"/>
        </w:rPr>
        <w:t>utes</w:t>
      </w:r>
      <w:r w:rsidR="00D0065A" w:rsidRPr="0083326F">
        <w:rPr>
          <w:rFonts w:ascii="Arial" w:hAnsi="Arial" w:cs="Arial"/>
          <w:b/>
          <w:bCs/>
          <w:i/>
          <w:iCs/>
          <w:lang w:val="en-US"/>
        </w:rPr>
        <w:t>)</w:t>
      </w:r>
    </w:p>
    <w:p w14:paraId="4DA76AE3" w14:textId="6863B7D9" w:rsidR="002B1E38" w:rsidRDefault="00757DE3" w:rsidP="00810753">
      <w:p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lessons are designed to be completed in sequence, </w:t>
      </w:r>
      <w:r w:rsidR="006113D8">
        <w:rPr>
          <w:rFonts w:ascii="Arial" w:hAnsi="Arial" w:cs="Arial"/>
          <w:lang w:val="en-US"/>
        </w:rPr>
        <w:t xml:space="preserve">but the </w:t>
      </w:r>
      <w:r w:rsidR="009E263C">
        <w:rPr>
          <w:rFonts w:ascii="Arial" w:hAnsi="Arial" w:cs="Arial"/>
          <w:lang w:val="en-US"/>
        </w:rPr>
        <w:t>instructor can modify or adjust to use any components to fit within other material</w:t>
      </w:r>
      <w:r w:rsidR="0083326F">
        <w:rPr>
          <w:rFonts w:ascii="Arial" w:hAnsi="Arial" w:cs="Arial"/>
          <w:lang w:val="en-US"/>
        </w:rPr>
        <w:t xml:space="preserve"> they are delivering.  </w:t>
      </w:r>
      <w:r w:rsidR="00474100">
        <w:rPr>
          <w:rFonts w:ascii="Arial" w:hAnsi="Arial" w:cs="Arial"/>
          <w:lang w:val="en-US"/>
        </w:rPr>
        <w:t>L</w:t>
      </w:r>
      <w:r>
        <w:rPr>
          <w:rFonts w:ascii="Arial" w:hAnsi="Arial" w:cs="Arial"/>
          <w:lang w:val="en-US"/>
        </w:rPr>
        <w:t>esson</w:t>
      </w:r>
      <w:r w:rsidR="00474100">
        <w:rPr>
          <w:rFonts w:ascii="Arial" w:hAnsi="Arial" w:cs="Arial"/>
          <w:lang w:val="en-US"/>
        </w:rPr>
        <w:t xml:space="preserve">s 1 </w:t>
      </w:r>
      <w:r w:rsidR="000E74BA">
        <w:rPr>
          <w:rFonts w:ascii="Arial" w:hAnsi="Arial" w:cs="Arial"/>
          <w:lang w:val="en-US"/>
        </w:rPr>
        <w:t>and</w:t>
      </w:r>
      <w:r w:rsidR="00474100">
        <w:rPr>
          <w:rFonts w:ascii="Arial" w:hAnsi="Arial" w:cs="Arial"/>
          <w:lang w:val="en-US"/>
        </w:rPr>
        <w:t xml:space="preserve"> 2 </w:t>
      </w:r>
      <w:r>
        <w:rPr>
          <w:rFonts w:ascii="Arial" w:hAnsi="Arial" w:cs="Arial"/>
          <w:lang w:val="en-US"/>
        </w:rPr>
        <w:t>requir</w:t>
      </w:r>
      <w:r w:rsidR="0083326F">
        <w:rPr>
          <w:rFonts w:ascii="Arial" w:hAnsi="Arial" w:cs="Arial"/>
          <w:lang w:val="en-US"/>
        </w:rPr>
        <w:t>e approximately</w:t>
      </w:r>
      <w:r>
        <w:rPr>
          <w:rFonts w:ascii="Arial" w:hAnsi="Arial" w:cs="Arial"/>
          <w:lang w:val="en-US"/>
        </w:rPr>
        <w:t>15 minutes to complete</w:t>
      </w:r>
      <w:r w:rsidR="0083326F">
        <w:rPr>
          <w:rFonts w:ascii="Arial" w:hAnsi="Arial" w:cs="Arial"/>
          <w:lang w:val="en-US"/>
        </w:rPr>
        <w:t xml:space="preserve">. </w:t>
      </w:r>
      <w:r w:rsidR="00474100">
        <w:rPr>
          <w:rFonts w:ascii="Arial" w:hAnsi="Arial" w:cs="Arial"/>
          <w:lang w:val="en-US"/>
        </w:rPr>
        <w:t>Lesson 3 requir</w:t>
      </w:r>
      <w:r w:rsidR="0083326F">
        <w:rPr>
          <w:rFonts w:ascii="Arial" w:hAnsi="Arial" w:cs="Arial"/>
          <w:lang w:val="en-US"/>
        </w:rPr>
        <w:t xml:space="preserve">es approximately </w:t>
      </w:r>
      <w:r w:rsidR="000A4308">
        <w:rPr>
          <w:rFonts w:ascii="Arial" w:hAnsi="Arial" w:cs="Arial"/>
          <w:lang w:val="en-US"/>
        </w:rPr>
        <w:t xml:space="preserve">45 minutes to complete.  These times can vary </w:t>
      </w:r>
      <w:r>
        <w:rPr>
          <w:rFonts w:ascii="Arial" w:hAnsi="Arial" w:cs="Arial"/>
          <w:lang w:val="en-US"/>
        </w:rPr>
        <w:t>depending on the level of interaction or discussion desired</w:t>
      </w:r>
      <w:r w:rsidR="002B1E38">
        <w:rPr>
          <w:rFonts w:ascii="Arial" w:hAnsi="Arial" w:cs="Arial"/>
          <w:lang w:val="en-US"/>
        </w:rPr>
        <w:t>.</w:t>
      </w:r>
    </w:p>
    <w:sectPr w:rsidR="002B1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815"/>
    <w:multiLevelType w:val="hybridMultilevel"/>
    <w:tmpl w:val="DC8A4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0CB2"/>
    <w:multiLevelType w:val="hybridMultilevel"/>
    <w:tmpl w:val="1602C4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5370"/>
    <w:multiLevelType w:val="hybridMultilevel"/>
    <w:tmpl w:val="75A6E9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211A"/>
    <w:multiLevelType w:val="hybridMultilevel"/>
    <w:tmpl w:val="597C42A0"/>
    <w:lvl w:ilvl="0" w:tplc="2AE88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D7447A"/>
    <w:multiLevelType w:val="hybridMultilevel"/>
    <w:tmpl w:val="1602C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303FA"/>
    <w:multiLevelType w:val="hybridMultilevel"/>
    <w:tmpl w:val="F12CC8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F2791"/>
    <w:multiLevelType w:val="hybridMultilevel"/>
    <w:tmpl w:val="49F6B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03DB8"/>
    <w:multiLevelType w:val="hybridMultilevel"/>
    <w:tmpl w:val="2F7E7E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883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91308"/>
    <w:multiLevelType w:val="hybridMultilevel"/>
    <w:tmpl w:val="0E60CA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D1B36"/>
    <w:multiLevelType w:val="hybridMultilevel"/>
    <w:tmpl w:val="13D65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41B8B"/>
    <w:multiLevelType w:val="hybridMultilevel"/>
    <w:tmpl w:val="14BCB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A6E12"/>
    <w:multiLevelType w:val="hybridMultilevel"/>
    <w:tmpl w:val="6A12A4A4"/>
    <w:lvl w:ilvl="0" w:tplc="62DE34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50E9"/>
    <w:multiLevelType w:val="hybridMultilevel"/>
    <w:tmpl w:val="5E5C5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F1755"/>
    <w:multiLevelType w:val="hybridMultilevel"/>
    <w:tmpl w:val="FFFFFFFF"/>
    <w:lvl w:ilvl="0" w:tplc="9A3C7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24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F49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28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CE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7E1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4EA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A3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25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A60B0"/>
    <w:multiLevelType w:val="hybridMultilevel"/>
    <w:tmpl w:val="FDA68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E4AE3"/>
    <w:multiLevelType w:val="hybridMultilevel"/>
    <w:tmpl w:val="0E60CA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F00"/>
    <w:multiLevelType w:val="hybridMultilevel"/>
    <w:tmpl w:val="3170E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555B9"/>
    <w:multiLevelType w:val="hybridMultilevel"/>
    <w:tmpl w:val="B3904F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F56E67"/>
    <w:multiLevelType w:val="hybridMultilevel"/>
    <w:tmpl w:val="5008A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405A"/>
    <w:multiLevelType w:val="hybridMultilevel"/>
    <w:tmpl w:val="FD6CB6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F5FC4"/>
    <w:multiLevelType w:val="hybridMultilevel"/>
    <w:tmpl w:val="7556E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43222"/>
    <w:multiLevelType w:val="hybridMultilevel"/>
    <w:tmpl w:val="026E8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2"/>
  </w:num>
  <w:num w:numId="5">
    <w:abstractNumId w:val="16"/>
  </w:num>
  <w:num w:numId="6">
    <w:abstractNumId w:val="18"/>
  </w:num>
  <w:num w:numId="7">
    <w:abstractNumId w:val="20"/>
  </w:num>
  <w:num w:numId="8">
    <w:abstractNumId w:val="6"/>
  </w:num>
  <w:num w:numId="9">
    <w:abstractNumId w:val="19"/>
  </w:num>
  <w:num w:numId="10">
    <w:abstractNumId w:val="7"/>
  </w:num>
  <w:num w:numId="11">
    <w:abstractNumId w:val="21"/>
  </w:num>
  <w:num w:numId="12">
    <w:abstractNumId w:val="3"/>
  </w:num>
  <w:num w:numId="13">
    <w:abstractNumId w:val="14"/>
  </w:num>
  <w:num w:numId="14">
    <w:abstractNumId w:val="8"/>
  </w:num>
  <w:num w:numId="15">
    <w:abstractNumId w:val="9"/>
  </w:num>
  <w:num w:numId="16">
    <w:abstractNumId w:val="2"/>
  </w:num>
  <w:num w:numId="17">
    <w:abstractNumId w:val="17"/>
  </w:num>
  <w:num w:numId="18">
    <w:abstractNumId w:val="11"/>
  </w:num>
  <w:num w:numId="19">
    <w:abstractNumId w:val="5"/>
  </w:num>
  <w:num w:numId="20">
    <w:abstractNumId w:val="4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65"/>
    <w:rsid w:val="00000C70"/>
    <w:rsid w:val="00004530"/>
    <w:rsid w:val="0003091E"/>
    <w:rsid w:val="000359BE"/>
    <w:rsid w:val="000450CB"/>
    <w:rsid w:val="00052B8A"/>
    <w:rsid w:val="00057C20"/>
    <w:rsid w:val="00083F1F"/>
    <w:rsid w:val="000A4308"/>
    <w:rsid w:val="000B3045"/>
    <w:rsid w:val="000B501A"/>
    <w:rsid w:val="000C2403"/>
    <w:rsid w:val="000C5DF5"/>
    <w:rsid w:val="000E3F8B"/>
    <w:rsid w:val="000E68A0"/>
    <w:rsid w:val="000E74BA"/>
    <w:rsid w:val="00104CC9"/>
    <w:rsid w:val="0011129D"/>
    <w:rsid w:val="0013188B"/>
    <w:rsid w:val="00134087"/>
    <w:rsid w:val="00154BCF"/>
    <w:rsid w:val="0016246A"/>
    <w:rsid w:val="001655F2"/>
    <w:rsid w:val="00176E52"/>
    <w:rsid w:val="00191DC6"/>
    <w:rsid w:val="001B74EF"/>
    <w:rsid w:val="001B7CFA"/>
    <w:rsid w:val="001C00E4"/>
    <w:rsid w:val="001D0033"/>
    <w:rsid w:val="001D47EB"/>
    <w:rsid w:val="001D6B89"/>
    <w:rsid w:val="001E396B"/>
    <w:rsid w:val="001E4726"/>
    <w:rsid w:val="001F5838"/>
    <w:rsid w:val="00203983"/>
    <w:rsid w:val="00214BD1"/>
    <w:rsid w:val="0021650A"/>
    <w:rsid w:val="0021683D"/>
    <w:rsid w:val="00222776"/>
    <w:rsid w:val="00230690"/>
    <w:rsid w:val="002403D1"/>
    <w:rsid w:val="002646E0"/>
    <w:rsid w:val="00265FDF"/>
    <w:rsid w:val="0027120A"/>
    <w:rsid w:val="00283065"/>
    <w:rsid w:val="002A1345"/>
    <w:rsid w:val="002A4DB7"/>
    <w:rsid w:val="002A7F1E"/>
    <w:rsid w:val="002B1E38"/>
    <w:rsid w:val="002D7517"/>
    <w:rsid w:val="0030756C"/>
    <w:rsid w:val="0033623F"/>
    <w:rsid w:val="00337C83"/>
    <w:rsid w:val="003514F9"/>
    <w:rsid w:val="00360EFA"/>
    <w:rsid w:val="00362D6F"/>
    <w:rsid w:val="003A4537"/>
    <w:rsid w:val="003A4638"/>
    <w:rsid w:val="003D0642"/>
    <w:rsid w:val="003D72DE"/>
    <w:rsid w:val="003D7DC6"/>
    <w:rsid w:val="003E6245"/>
    <w:rsid w:val="003F4A0C"/>
    <w:rsid w:val="00404DE2"/>
    <w:rsid w:val="0041681F"/>
    <w:rsid w:val="00416CD0"/>
    <w:rsid w:val="004356DC"/>
    <w:rsid w:val="00435DC3"/>
    <w:rsid w:val="00445BC8"/>
    <w:rsid w:val="004563A9"/>
    <w:rsid w:val="0046343A"/>
    <w:rsid w:val="00474100"/>
    <w:rsid w:val="004B668F"/>
    <w:rsid w:val="004C20DE"/>
    <w:rsid w:val="004E4E05"/>
    <w:rsid w:val="00513D77"/>
    <w:rsid w:val="005547E6"/>
    <w:rsid w:val="00562EB2"/>
    <w:rsid w:val="00563D45"/>
    <w:rsid w:val="00582372"/>
    <w:rsid w:val="005C08CB"/>
    <w:rsid w:val="005D1952"/>
    <w:rsid w:val="005D28A9"/>
    <w:rsid w:val="005F25B8"/>
    <w:rsid w:val="005F2DC2"/>
    <w:rsid w:val="005F6F11"/>
    <w:rsid w:val="006113D8"/>
    <w:rsid w:val="006150AA"/>
    <w:rsid w:val="00617C49"/>
    <w:rsid w:val="00627763"/>
    <w:rsid w:val="00631AA2"/>
    <w:rsid w:val="00654235"/>
    <w:rsid w:val="00655ECD"/>
    <w:rsid w:val="00657A35"/>
    <w:rsid w:val="0069791F"/>
    <w:rsid w:val="006B46EB"/>
    <w:rsid w:val="006D1883"/>
    <w:rsid w:val="006E079A"/>
    <w:rsid w:val="006E348E"/>
    <w:rsid w:val="006F1303"/>
    <w:rsid w:val="006F3BC3"/>
    <w:rsid w:val="0070680A"/>
    <w:rsid w:val="00714721"/>
    <w:rsid w:val="00753E3C"/>
    <w:rsid w:val="00757DE3"/>
    <w:rsid w:val="0079022C"/>
    <w:rsid w:val="007903B1"/>
    <w:rsid w:val="00793977"/>
    <w:rsid w:val="007C0420"/>
    <w:rsid w:val="007C50D4"/>
    <w:rsid w:val="007C518D"/>
    <w:rsid w:val="007D0E25"/>
    <w:rsid w:val="007D3910"/>
    <w:rsid w:val="007E3048"/>
    <w:rsid w:val="007E74FF"/>
    <w:rsid w:val="00810753"/>
    <w:rsid w:val="0083326F"/>
    <w:rsid w:val="008344CA"/>
    <w:rsid w:val="00846C0B"/>
    <w:rsid w:val="0086414E"/>
    <w:rsid w:val="00877B35"/>
    <w:rsid w:val="0088139A"/>
    <w:rsid w:val="00882B85"/>
    <w:rsid w:val="00882D3F"/>
    <w:rsid w:val="00897F64"/>
    <w:rsid w:val="008B1783"/>
    <w:rsid w:val="008B48B6"/>
    <w:rsid w:val="008D4F6F"/>
    <w:rsid w:val="008F02A0"/>
    <w:rsid w:val="0090701C"/>
    <w:rsid w:val="00907259"/>
    <w:rsid w:val="0094627F"/>
    <w:rsid w:val="009715DD"/>
    <w:rsid w:val="00986C50"/>
    <w:rsid w:val="009A2905"/>
    <w:rsid w:val="009A3423"/>
    <w:rsid w:val="009E263C"/>
    <w:rsid w:val="009E575C"/>
    <w:rsid w:val="009F3AA7"/>
    <w:rsid w:val="00A179A1"/>
    <w:rsid w:val="00A41933"/>
    <w:rsid w:val="00A42D66"/>
    <w:rsid w:val="00A55D93"/>
    <w:rsid w:val="00A63831"/>
    <w:rsid w:val="00A64FD8"/>
    <w:rsid w:val="00A748A4"/>
    <w:rsid w:val="00A77D36"/>
    <w:rsid w:val="00AA1087"/>
    <w:rsid w:val="00AB2AA4"/>
    <w:rsid w:val="00AC281B"/>
    <w:rsid w:val="00AC6CD4"/>
    <w:rsid w:val="00AD6EF4"/>
    <w:rsid w:val="00AE4E30"/>
    <w:rsid w:val="00AF32FE"/>
    <w:rsid w:val="00AF748E"/>
    <w:rsid w:val="00B113C1"/>
    <w:rsid w:val="00B142D9"/>
    <w:rsid w:val="00B17724"/>
    <w:rsid w:val="00B24B48"/>
    <w:rsid w:val="00B54134"/>
    <w:rsid w:val="00B816CD"/>
    <w:rsid w:val="00B94D49"/>
    <w:rsid w:val="00BB2A9B"/>
    <w:rsid w:val="00BB5804"/>
    <w:rsid w:val="00BD02EA"/>
    <w:rsid w:val="00BD1C99"/>
    <w:rsid w:val="00BF40D2"/>
    <w:rsid w:val="00C07A57"/>
    <w:rsid w:val="00C75C5C"/>
    <w:rsid w:val="00C9646C"/>
    <w:rsid w:val="00CC49DB"/>
    <w:rsid w:val="00CC5A4B"/>
    <w:rsid w:val="00CD2CD7"/>
    <w:rsid w:val="00D0065A"/>
    <w:rsid w:val="00D01DC6"/>
    <w:rsid w:val="00D15CAD"/>
    <w:rsid w:val="00D4794B"/>
    <w:rsid w:val="00DA3B19"/>
    <w:rsid w:val="00DA6A7B"/>
    <w:rsid w:val="00DB596E"/>
    <w:rsid w:val="00DC3659"/>
    <w:rsid w:val="00DD623B"/>
    <w:rsid w:val="00DD63D5"/>
    <w:rsid w:val="00DE5459"/>
    <w:rsid w:val="00DF5E6B"/>
    <w:rsid w:val="00E00A33"/>
    <w:rsid w:val="00E11033"/>
    <w:rsid w:val="00E14B6D"/>
    <w:rsid w:val="00E257D6"/>
    <w:rsid w:val="00E509F8"/>
    <w:rsid w:val="00E51D34"/>
    <w:rsid w:val="00E54CB3"/>
    <w:rsid w:val="00E71FA5"/>
    <w:rsid w:val="00E87DFC"/>
    <w:rsid w:val="00EB22FA"/>
    <w:rsid w:val="00EC7EC9"/>
    <w:rsid w:val="00ED7781"/>
    <w:rsid w:val="00EF0024"/>
    <w:rsid w:val="00EF5EC9"/>
    <w:rsid w:val="00F053CE"/>
    <w:rsid w:val="00F14F5E"/>
    <w:rsid w:val="00F17BA1"/>
    <w:rsid w:val="00F352DA"/>
    <w:rsid w:val="00F37FB6"/>
    <w:rsid w:val="00F423E3"/>
    <w:rsid w:val="00F536B6"/>
    <w:rsid w:val="00F55088"/>
    <w:rsid w:val="00F95277"/>
    <w:rsid w:val="00FA0D3D"/>
    <w:rsid w:val="00FB0C5C"/>
    <w:rsid w:val="00FB2150"/>
    <w:rsid w:val="00FB2A22"/>
    <w:rsid w:val="00FF0341"/>
    <w:rsid w:val="03DD736F"/>
    <w:rsid w:val="08A9F426"/>
    <w:rsid w:val="0B9C0681"/>
    <w:rsid w:val="0E3450A9"/>
    <w:rsid w:val="2A0D6205"/>
    <w:rsid w:val="2BFC0A2D"/>
    <w:rsid w:val="4205C817"/>
    <w:rsid w:val="44E3092E"/>
    <w:rsid w:val="49FFE8C3"/>
    <w:rsid w:val="4D744950"/>
    <w:rsid w:val="6557DE1E"/>
    <w:rsid w:val="68351F35"/>
    <w:rsid w:val="70C65F57"/>
    <w:rsid w:val="71E3A065"/>
    <w:rsid w:val="74B4A715"/>
    <w:rsid w:val="7D3B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59C1"/>
  <w15:chartTrackingRefBased/>
  <w15:docId w15:val="{279491AA-120C-4E78-AA05-38DB2560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2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EB2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EB2"/>
    <w:rPr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62E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2E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1681F"/>
    <w:pPr>
      <w:ind w:left="720"/>
      <w:contextualSpacing/>
    </w:pPr>
  </w:style>
  <w:style w:type="table" w:styleId="TableGrid">
    <w:name w:val="Table Grid"/>
    <w:basedOn w:val="TableNormal"/>
    <w:uiPriority w:val="39"/>
    <w:rsid w:val="0086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7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ngineeringdea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7996F0945045841D4032A53E815B" ma:contentTypeVersion="13" ma:contentTypeDescription="Create a new document." ma:contentTypeScope="" ma:versionID="89e1d0dbbe98f29594ab1d9173cdd609">
  <xsd:schema xmlns:xsd="http://www.w3.org/2001/XMLSchema" xmlns:xs="http://www.w3.org/2001/XMLSchema" xmlns:p="http://schemas.microsoft.com/office/2006/metadata/properties" xmlns:ns2="2c9b8f40-2560-4623-9955-0bf954a8da68" xmlns:ns3="3c128593-d5eb-4587-af01-a0011b216d88" targetNamespace="http://schemas.microsoft.com/office/2006/metadata/properties" ma:root="true" ma:fieldsID="88003fb3953fcf00af738696141de1d5" ns2:_="" ns3:_="">
    <xsd:import namespace="2c9b8f40-2560-4623-9955-0bf954a8da68"/>
    <xsd:import namespace="3c128593-d5eb-4587-af01-a0011b216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b8f40-2560-4623-9955-0bf954a8d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28593-d5eb-4587-af01-a0011b216d8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4db5775-5a35-4ed4-9cef-83337d2d52f2}" ma:internalName="TaxCatchAll" ma:showField="CatchAllData" ma:web="3c128593-d5eb-4587-af01-a0011b216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4913E-26E5-4AE6-98EF-F4F5B6045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b8f40-2560-4623-9955-0bf954a8da68"/>
    <ds:schemaRef ds:uri="3c128593-d5eb-4587-af01-a0011b216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31180-326B-4F3E-9140-2980A5238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Donald</dc:creator>
  <cp:keywords/>
  <dc:description/>
  <cp:lastModifiedBy>Nadine Ibrahim</cp:lastModifiedBy>
  <cp:revision>6</cp:revision>
  <dcterms:created xsi:type="dcterms:W3CDTF">2023-02-28T17:20:00Z</dcterms:created>
  <dcterms:modified xsi:type="dcterms:W3CDTF">2023-02-28T18:11:00Z</dcterms:modified>
</cp:coreProperties>
</file>