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5022" w14:textId="339FF51A" w:rsidR="001B2A77" w:rsidRDefault="00DA377A" w:rsidP="20439409">
      <w:pPr>
        <w:rPr>
          <w:rFonts w:ascii="IBM Plex Sans" w:eastAsia="IBM Plex Sans" w:hAnsi="IBM Plex Sans" w:cs="IBM Plex Sans"/>
          <w:b/>
          <w:bCs/>
          <w:sz w:val="28"/>
          <w:szCs w:val="28"/>
        </w:rPr>
      </w:pPr>
      <w:r w:rsidRPr="479A5044">
        <w:rPr>
          <w:rFonts w:ascii="IBM Plex Sans" w:eastAsia="IBM Plex Sans" w:hAnsi="IBM Plex Sans" w:cs="IBM Plex Sans"/>
          <w:b/>
          <w:bCs/>
          <w:sz w:val="28"/>
          <w:szCs w:val="28"/>
        </w:rPr>
        <w:t>Monitoring your learning</w:t>
      </w:r>
    </w:p>
    <w:p w14:paraId="58C31066" w14:textId="77777777" w:rsidR="00714245" w:rsidRDefault="00714245" w:rsidP="20439409">
      <w:pPr>
        <w:rPr>
          <w:rFonts w:ascii="IBM Plex Sans" w:eastAsia="IBM Plex Sans" w:hAnsi="IBM Plex Sans" w:cs="IBM Plex Sans"/>
          <w:b/>
          <w:bCs/>
          <w:sz w:val="28"/>
          <w:szCs w:val="28"/>
        </w:rPr>
      </w:pPr>
    </w:p>
    <w:p w14:paraId="39FBC9F7" w14:textId="33ECB4A5" w:rsidR="119E215D" w:rsidRDefault="119E215D" w:rsidP="2FC41055">
      <w:pPr>
        <w:rPr>
          <w:rFonts w:ascii="IBM Plex Sans" w:eastAsia="IBM Plex Sans" w:hAnsi="IBM Plex Sans" w:cs="IBM Plex Sans"/>
          <w:b/>
          <w:bCs/>
          <w:sz w:val="24"/>
          <w:szCs w:val="24"/>
        </w:rPr>
      </w:pPr>
      <w:r w:rsidRPr="2FC41055">
        <w:rPr>
          <w:rFonts w:ascii="IBM Plex Sans" w:eastAsia="IBM Plex Sans" w:hAnsi="IBM Plex Sans" w:cs="IBM Plex Sans"/>
          <w:sz w:val="20"/>
          <w:szCs w:val="20"/>
        </w:rPr>
        <w:t xml:space="preserve">Estimated time: </w:t>
      </w:r>
      <w:r w:rsidR="00116F7F">
        <w:rPr>
          <w:rFonts w:ascii="IBM Plex Sans" w:eastAsia="IBM Plex Sans" w:hAnsi="IBM Plex Sans" w:cs="IBM Plex Sans"/>
          <w:sz w:val="20"/>
          <w:szCs w:val="20"/>
        </w:rPr>
        <w:t>N/A</w:t>
      </w:r>
    </w:p>
    <w:p w14:paraId="71BB6689" w14:textId="3D599479" w:rsidR="00DA377A" w:rsidRDefault="00DA377A" w:rsidP="0914D709">
      <w:pPr>
        <w:rPr>
          <w:rFonts w:ascii="IBM Plex Sans" w:eastAsia="IBM Plex Sans" w:hAnsi="IBM Plex Sans" w:cs="IBM Plex Sans"/>
        </w:rPr>
      </w:pPr>
    </w:p>
    <w:p w14:paraId="30A1C5CB" w14:textId="2B2A1B66" w:rsidR="00DA377A" w:rsidRPr="00DA377A" w:rsidRDefault="00DA377A" w:rsidP="0914D709">
      <w:pPr>
        <w:rPr>
          <w:rFonts w:ascii="IBM Plex Sans" w:eastAsia="IBM Plex Sans" w:hAnsi="IBM Plex Sans" w:cs="IBM Plex Sans"/>
          <w:b/>
          <w:bCs/>
        </w:rPr>
      </w:pPr>
      <w:r w:rsidRPr="0914D709">
        <w:rPr>
          <w:rFonts w:ascii="IBM Plex Sans" w:eastAsia="IBM Plex Sans" w:hAnsi="IBM Plex Sans" w:cs="IBM Plex Sans"/>
          <w:b/>
          <w:bCs/>
        </w:rPr>
        <w:t>Learning outcomes:</w:t>
      </w:r>
    </w:p>
    <w:p w14:paraId="56D78934" w14:textId="3E6DE061" w:rsidR="00DA377A" w:rsidRDefault="00DA377A" w:rsidP="0914D709">
      <w:pPr>
        <w:rPr>
          <w:rFonts w:ascii="IBM Plex Sans" w:eastAsia="IBM Plex Sans" w:hAnsi="IBM Plex Sans" w:cs="IBM Plex Sans"/>
        </w:rPr>
      </w:pPr>
      <w:r w:rsidRPr="0914D709">
        <w:rPr>
          <w:rFonts w:ascii="IBM Plex Sans" w:eastAsia="IBM Plex Sans" w:hAnsi="IBM Plex Sans" w:cs="IBM Plex Sans"/>
        </w:rPr>
        <w:t>After you complete this activity, you will be able to:</w:t>
      </w:r>
    </w:p>
    <w:p w14:paraId="1845C21B" w14:textId="592FBE27" w:rsidR="00DA377A" w:rsidRDefault="00DA377A" w:rsidP="0914D709">
      <w:pPr>
        <w:pStyle w:val="ListParagraph"/>
        <w:numPr>
          <w:ilvl w:val="0"/>
          <w:numId w:val="1"/>
        </w:numPr>
        <w:rPr>
          <w:rFonts w:ascii="IBM Plex Sans" w:eastAsia="IBM Plex Sans" w:hAnsi="IBM Plex Sans" w:cs="IBM Plex Sans"/>
        </w:rPr>
      </w:pPr>
      <w:r w:rsidRPr="0914D709">
        <w:rPr>
          <w:rFonts w:ascii="IBM Plex Sans" w:eastAsia="IBM Plex Sans" w:hAnsi="IBM Plex Sans" w:cs="IBM Plex Sans"/>
        </w:rPr>
        <w:t>Practice thinking metacognitively while completing various learning tasks and activities</w:t>
      </w:r>
    </w:p>
    <w:p w14:paraId="31529055" w14:textId="0225604B" w:rsidR="00DA377A" w:rsidRDefault="00DA377A" w:rsidP="0914D709">
      <w:pPr>
        <w:pStyle w:val="ListParagraph"/>
        <w:numPr>
          <w:ilvl w:val="0"/>
          <w:numId w:val="1"/>
        </w:numPr>
        <w:rPr>
          <w:rFonts w:ascii="IBM Plex Sans" w:eastAsia="IBM Plex Sans" w:hAnsi="IBM Plex Sans" w:cs="IBM Plex Sans"/>
        </w:rPr>
      </w:pPr>
      <w:r w:rsidRPr="0914D709">
        <w:rPr>
          <w:rFonts w:ascii="IBM Plex Sans" w:eastAsia="IBM Plex Sans" w:hAnsi="IBM Plex Sans" w:cs="IBM Plex Sans"/>
        </w:rPr>
        <w:t>Monitor your learning during various learning tasks and activities</w:t>
      </w:r>
    </w:p>
    <w:p w14:paraId="42567DA3" w14:textId="0B64A6F3" w:rsidR="5A48BF88" w:rsidRDefault="5A48BF88" w:rsidP="0914D709">
      <w:pPr>
        <w:rPr>
          <w:rFonts w:ascii="IBM Plex Sans" w:eastAsia="IBM Plex Sans" w:hAnsi="IBM Plex Sans" w:cs="IBM Plex Sans"/>
        </w:rPr>
      </w:pPr>
    </w:p>
    <w:p w14:paraId="36F02D93" w14:textId="61F26EBF" w:rsidR="5636404D" w:rsidRDefault="5636404D" w:rsidP="0914D709">
      <w:pPr>
        <w:rPr>
          <w:rFonts w:ascii="IBM Plex Sans" w:eastAsia="IBM Plex Sans" w:hAnsi="IBM Plex Sans" w:cs="IBM Plex Sans"/>
        </w:rPr>
      </w:pPr>
      <w:r w:rsidRPr="0914D709">
        <w:rPr>
          <w:rFonts w:ascii="IBM Plex Sans" w:eastAsia="IBM Plex Sans" w:hAnsi="IBM Plex Sans" w:cs="IBM Plex Sans"/>
          <w:b/>
          <w:bCs/>
        </w:rPr>
        <w:t>Instructions:</w:t>
      </w:r>
      <w:r w:rsidRPr="0914D709">
        <w:rPr>
          <w:rFonts w:ascii="IBM Plex Sans" w:eastAsia="IBM Plex Sans" w:hAnsi="IBM Plex Sans" w:cs="IBM Plex Sans"/>
        </w:rPr>
        <w:t xml:space="preserve"> Use the scenario and questions below as prompts to help you think metacognitively as you monitor your learning. </w:t>
      </w:r>
    </w:p>
    <w:p w14:paraId="7DB3C480" w14:textId="58FB7F05" w:rsidR="00DA377A" w:rsidRDefault="00DA377A" w:rsidP="0914D709">
      <w:pPr>
        <w:rPr>
          <w:rFonts w:ascii="IBM Plex Sans" w:eastAsia="IBM Plex Sans" w:hAnsi="IBM Plex Sans" w:cs="IBM Plex San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5"/>
        <w:gridCol w:w="3305"/>
        <w:gridCol w:w="3306"/>
        <w:gridCol w:w="3306"/>
      </w:tblGrid>
      <w:tr w:rsidR="00DA377A" w:rsidRPr="0086121D" w14:paraId="07F0899F" w14:textId="77777777" w:rsidTr="0086121D">
        <w:tc>
          <w:tcPr>
            <w:tcW w:w="1250" w:type="pct"/>
            <w:shd w:val="clear" w:color="auto" w:fill="D9E2F3" w:themeFill="accent1" w:themeFillTint="33"/>
          </w:tcPr>
          <w:p w14:paraId="14BDF1E2" w14:textId="2AC821C0" w:rsidR="00DA377A" w:rsidRPr="0086121D" w:rsidRDefault="00DA377A" w:rsidP="0914D709">
            <w:pPr>
              <w:rPr>
                <w:rFonts w:ascii="IBM Plex Sans" w:eastAsia="IBM Plex Sans" w:hAnsi="IBM Plex Sans" w:cs="IBM Plex Sans"/>
                <w:b/>
                <w:bCs/>
                <w:i/>
                <w:iCs/>
              </w:rPr>
            </w:pPr>
            <w:r w:rsidRPr="0086121D">
              <w:rPr>
                <w:rFonts w:ascii="IBM Plex Sans" w:eastAsia="IBM Plex Sans" w:hAnsi="IBM Plex Sans" w:cs="IBM Plex Sans"/>
                <w:b/>
                <w:bCs/>
                <w:i/>
                <w:iCs/>
              </w:rPr>
              <w:t>During a class session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55F53235" w14:textId="1174D61F" w:rsidR="00DA377A" w:rsidRPr="0086121D" w:rsidRDefault="00DA377A" w:rsidP="0914D709">
            <w:pPr>
              <w:rPr>
                <w:rFonts w:ascii="IBM Plex Sans" w:eastAsia="IBM Plex Sans" w:hAnsi="IBM Plex Sans" w:cs="IBM Plex Sans"/>
                <w:b/>
                <w:bCs/>
                <w:i/>
                <w:iCs/>
              </w:rPr>
            </w:pPr>
            <w:r w:rsidRPr="0086121D">
              <w:rPr>
                <w:rFonts w:ascii="IBM Plex Sans" w:eastAsia="IBM Plex Sans" w:hAnsi="IBM Plex Sans" w:cs="IBM Plex Sans"/>
                <w:b/>
                <w:bCs/>
                <w:i/>
                <w:iCs/>
              </w:rPr>
              <w:t>When you’re completing an active-learning task and/or homework assignment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3A94038E" w14:textId="5310F289" w:rsidR="00DA377A" w:rsidRPr="0086121D" w:rsidRDefault="00DA377A" w:rsidP="0914D709">
            <w:pPr>
              <w:rPr>
                <w:rFonts w:ascii="IBM Plex Sans" w:eastAsia="IBM Plex Sans" w:hAnsi="IBM Plex Sans" w:cs="IBM Plex Sans"/>
                <w:b/>
                <w:bCs/>
                <w:i/>
                <w:iCs/>
              </w:rPr>
            </w:pPr>
            <w:r w:rsidRPr="0086121D">
              <w:rPr>
                <w:rFonts w:ascii="IBM Plex Sans" w:eastAsia="IBM Plex Sans" w:hAnsi="IBM Plex Sans" w:cs="IBM Plex Sans"/>
                <w:b/>
                <w:bCs/>
                <w:i/>
                <w:iCs/>
              </w:rPr>
              <w:t>When you’re studying for a quiz or exam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5B59326E" w14:textId="623F9B26" w:rsidR="00DA377A" w:rsidRPr="0086121D" w:rsidRDefault="00DA377A" w:rsidP="0914D709">
            <w:pPr>
              <w:rPr>
                <w:rFonts w:ascii="IBM Plex Sans" w:eastAsia="IBM Plex Sans" w:hAnsi="IBM Plex Sans" w:cs="IBM Plex Sans"/>
                <w:b/>
                <w:bCs/>
                <w:i/>
                <w:iCs/>
              </w:rPr>
            </w:pPr>
            <w:r w:rsidRPr="0086121D">
              <w:rPr>
                <w:rFonts w:ascii="IBM Plex Sans" w:eastAsia="IBM Plex Sans" w:hAnsi="IBM Plex Sans" w:cs="IBM Plex Sans"/>
                <w:b/>
                <w:bCs/>
                <w:i/>
                <w:iCs/>
              </w:rPr>
              <w:t>When thinking about your learning in the course, overall</w:t>
            </w:r>
          </w:p>
        </w:tc>
      </w:tr>
      <w:tr w:rsidR="00DA377A" w:rsidRPr="0086121D" w14:paraId="4B870E88" w14:textId="77777777" w:rsidTr="0086121D">
        <w:tc>
          <w:tcPr>
            <w:tcW w:w="1250" w:type="pct"/>
          </w:tcPr>
          <w:p w14:paraId="702C7F1B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What insights am I having as I experience this class session? What confusions?</w:t>
            </w:r>
          </w:p>
          <w:p w14:paraId="0142752F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What questions are arising for me during the class session? Am I noting them?</w:t>
            </w:r>
          </w:p>
          <w:p w14:paraId="192AAE2B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Do I find this class interesting? Why or why not? How could I make this material personally relevant?</w:t>
            </w:r>
          </w:p>
          <w:p w14:paraId="31DC3C34" w14:textId="325EF839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Can I distinguish important information from details? If not, how will I figure this out?</w:t>
            </w:r>
          </w:p>
        </w:tc>
        <w:tc>
          <w:tcPr>
            <w:tcW w:w="1250" w:type="pct"/>
          </w:tcPr>
          <w:p w14:paraId="7CCA45E1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What strategies am I using that are working well or not working well to help me learn?</w:t>
            </w:r>
          </w:p>
          <w:p w14:paraId="41060D66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What other resources could I be using to complete this task? What actions should I take to get these?</w:t>
            </w:r>
          </w:p>
          <w:p w14:paraId="2CC53AE5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What is most challenging for me about this task? Most confusing?</w:t>
            </w:r>
          </w:p>
          <w:p w14:paraId="68FE6D81" w14:textId="1BE8AF1A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What could I do differently mid-assignment to address these challenges and confusions?</w:t>
            </w:r>
          </w:p>
        </w:tc>
        <w:tc>
          <w:tcPr>
            <w:tcW w:w="1250" w:type="pct"/>
          </w:tcPr>
          <w:p w14:paraId="4174C54C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To what extent am I being systematic in my studying for all the material for this exam?</w:t>
            </w:r>
          </w:p>
          <w:p w14:paraId="3B0F320C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To what extent am I taking advantage of all the learning supports available to me?</w:t>
            </w:r>
          </w:p>
          <w:p w14:paraId="6E026D92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Am I struggling with my motivation to study? If so, do I remember why I am taking this course?</w:t>
            </w:r>
          </w:p>
          <w:p w14:paraId="26043AD5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Which of my confusions have I clarified? How was I able to get them clarified?</w:t>
            </w:r>
          </w:p>
          <w:p w14:paraId="03BBED2C" w14:textId="1990BDE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lastRenderedPageBreak/>
              <w:t xml:space="preserve">Which confusions remain and how am I going to get them clarified? </w:t>
            </w:r>
          </w:p>
        </w:tc>
        <w:tc>
          <w:tcPr>
            <w:tcW w:w="1250" w:type="pct"/>
          </w:tcPr>
          <w:p w14:paraId="0D14EFE0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lastRenderedPageBreak/>
              <w:t>In what ways is the teaching in this course supportive of my learning? How could I maximize this?</w:t>
            </w:r>
          </w:p>
          <w:p w14:paraId="3E2BDB68" w14:textId="77777777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In what ways is the teaching in this course not supportive of my learning? How could I compensate for or change this? Where can I get support?</w:t>
            </w:r>
          </w:p>
          <w:p w14:paraId="5B865566" w14:textId="01BDA459" w:rsidR="00DA377A" w:rsidRPr="0086121D" w:rsidRDefault="00DA377A" w:rsidP="0914D709">
            <w:pPr>
              <w:pStyle w:val="ListParagraph"/>
              <w:numPr>
                <w:ilvl w:val="0"/>
                <w:numId w:val="3"/>
              </w:numPr>
              <w:rPr>
                <w:rFonts w:ascii="IBM Plex Sans" w:eastAsia="IBM Plex Sans" w:hAnsi="IBM Plex Sans" w:cs="IBM Plex Sans"/>
              </w:rPr>
            </w:pPr>
            <w:r w:rsidRPr="0086121D">
              <w:rPr>
                <w:rFonts w:ascii="IBM Plex Sans" w:eastAsia="IBM Plex Sans" w:hAnsi="IBM Plex Sans" w:cs="IBM Plex Sans"/>
              </w:rPr>
              <w:t>How interested am I in this course? How confident am I in my learning? What could I do to increase my interest and confidence?</w:t>
            </w:r>
          </w:p>
        </w:tc>
      </w:tr>
    </w:tbl>
    <w:p w14:paraId="4344D5E8" w14:textId="788927BB" w:rsidR="00DA377A" w:rsidRDefault="00DA377A" w:rsidP="0914D709">
      <w:pPr>
        <w:rPr>
          <w:rFonts w:ascii="IBM Plex Sans" w:eastAsia="IBM Plex Sans" w:hAnsi="IBM Plex Sans" w:cs="IBM Plex Sans"/>
        </w:rPr>
      </w:pPr>
    </w:p>
    <w:p w14:paraId="468A465C" w14:textId="77777777" w:rsidR="00116F7F" w:rsidRDefault="00116F7F" w:rsidP="2FC41055">
      <w:pPr>
        <w:spacing w:after="160" w:line="259" w:lineRule="auto"/>
        <w:rPr>
          <w:rFonts w:ascii="IBM Plex Sans" w:eastAsia="IBM Plex Sans" w:hAnsi="IBM Plex Sans" w:cs="IBM Plex Sans"/>
          <w:b/>
          <w:bCs/>
          <w:sz w:val="24"/>
          <w:szCs w:val="24"/>
        </w:rPr>
      </w:pPr>
    </w:p>
    <w:p w14:paraId="1E1F3754" w14:textId="0A219CD5" w:rsidR="54A154C5" w:rsidRDefault="2FC41055" w:rsidP="2FC41055">
      <w:pPr>
        <w:spacing w:after="160" w:line="259" w:lineRule="auto"/>
        <w:rPr>
          <w:rFonts w:ascii="IBM Plex Sans" w:eastAsia="IBM Plex Sans" w:hAnsi="IBM Plex Sans" w:cs="IBM Plex Sans"/>
          <w:b/>
          <w:bCs/>
          <w:sz w:val="24"/>
          <w:szCs w:val="24"/>
        </w:rPr>
      </w:pPr>
      <w:r w:rsidRPr="2FC41055">
        <w:rPr>
          <w:rFonts w:ascii="IBM Plex Sans" w:eastAsia="IBM Plex Sans" w:hAnsi="IBM Plex Sans" w:cs="IBM Plex Sans"/>
          <w:b/>
          <w:bCs/>
          <w:sz w:val="24"/>
          <w:szCs w:val="24"/>
        </w:rPr>
        <w:t>Sources</w:t>
      </w:r>
    </w:p>
    <w:p w14:paraId="3629D765" w14:textId="6F9D54FA" w:rsidR="54A154C5" w:rsidRDefault="54A154C5" w:rsidP="2FC41055">
      <w:pPr>
        <w:spacing w:after="160" w:line="259" w:lineRule="auto"/>
        <w:rPr>
          <w:rFonts w:ascii="IBM Plex Sans" w:eastAsia="IBM Plex Sans" w:hAnsi="IBM Plex Sans" w:cs="IBM Plex Sans"/>
          <w:color w:val="000000" w:themeColor="text1"/>
        </w:rPr>
      </w:pPr>
      <w:r w:rsidRPr="2FC41055">
        <w:rPr>
          <w:rFonts w:ascii="IBM Plex Sans" w:eastAsia="IBM Plex Sans" w:hAnsi="IBM Plex Sans" w:cs="IBM Plex Sans"/>
          <w:color w:val="000000" w:themeColor="text1"/>
        </w:rPr>
        <w:t>Adapted</w:t>
      </w:r>
      <w:r w:rsidR="40547499" w:rsidRPr="2FC41055">
        <w:rPr>
          <w:rFonts w:ascii="IBM Plex Sans" w:eastAsia="IBM Plex Sans" w:hAnsi="IBM Plex Sans" w:cs="IBM Plex Sans"/>
          <w:color w:val="000000" w:themeColor="text1"/>
        </w:rPr>
        <w:t xml:space="preserve"> by PATHS, York University</w:t>
      </w:r>
      <w:r w:rsidRPr="2FC41055">
        <w:rPr>
          <w:rFonts w:ascii="IBM Plex Sans" w:eastAsia="IBM Plex Sans" w:hAnsi="IBM Plex Sans" w:cs="IBM Plex Sans"/>
          <w:color w:val="000000" w:themeColor="text1"/>
        </w:rPr>
        <w:t xml:space="preserve"> from: Promoting Student Metacognition. Kimberly D. Tanner CBE—Life Sciences Education 2012 11:2, 113-120. </w:t>
      </w:r>
      <w:hyperlink r:id="rId10">
        <w:r w:rsidRPr="2FC41055">
          <w:rPr>
            <w:rStyle w:val="Hyperlink"/>
            <w:rFonts w:ascii="IBM Plex Sans" w:eastAsia="IBM Plex Sans" w:hAnsi="IBM Plex Sans" w:cs="IBM Plex Sans"/>
          </w:rPr>
          <w:t>https://www.lifescied.org/action/showCitFormats?doi=10.1187%2Fcbe.12-03-0033</w:t>
        </w:r>
      </w:hyperlink>
    </w:p>
    <w:p w14:paraId="04AE37B5" w14:textId="54E3D1BA" w:rsidR="54A154C5" w:rsidRDefault="00CC4AF0" w:rsidP="2FC41055">
      <w:pPr>
        <w:spacing w:after="160" w:line="259" w:lineRule="auto"/>
        <w:rPr>
          <w:rFonts w:ascii="IBM Plex Sans" w:eastAsia="IBM Plex Sans" w:hAnsi="IBM Plex Sans" w:cs="IBM Plex Sans"/>
          <w:sz w:val="24"/>
          <w:szCs w:val="24"/>
        </w:rPr>
      </w:pPr>
      <w:r>
        <w:rPr>
          <w:rFonts w:ascii="IBM Plex Sans" w:eastAsia="IBM Plex Sans" w:hAnsi="IBM Plex Sans" w:cs="IBM Plex Sans"/>
          <w:color w:val="000000" w:themeColor="text1"/>
        </w:rPr>
        <w:t xml:space="preserve">Common Self-Regulation Strategies. </w:t>
      </w:r>
      <w:r w:rsidR="30E65E3D" w:rsidRPr="2FC41055">
        <w:rPr>
          <w:rFonts w:ascii="IBM Plex Sans" w:eastAsia="IBM Plex Sans" w:hAnsi="IBM Plex Sans" w:cs="IBM Plex Sans"/>
          <w:color w:val="000000" w:themeColor="text1"/>
        </w:rPr>
        <w:t xml:space="preserve">University of Connecticut, Renzulli center for creativity, gifted education, and talent development. </w:t>
      </w:r>
      <w:hyperlink r:id="rId11">
        <w:r w:rsidR="54A154C5" w:rsidRPr="2FC41055">
          <w:rPr>
            <w:rStyle w:val="Hyperlink"/>
            <w:rFonts w:ascii="IBM Plex Sans" w:eastAsia="IBM Plex Sans" w:hAnsi="IBM Plex Sans" w:cs="IBM Plex Sans"/>
            <w:lang w:val="en-US"/>
          </w:rPr>
          <w:t>https://nrcgt.uconn.edu/underachievement_study/self-regulation/sr_section7/</w:t>
        </w:r>
      </w:hyperlink>
    </w:p>
    <w:p w14:paraId="59E4946A" w14:textId="156D982F" w:rsidR="0914D709" w:rsidRDefault="0914D709" w:rsidP="0914D709">
      <w:pPr>
        <w:spacing w:after="160" w:line="259" w:lineRule="auto"/>
        <w:rPr>
          <w:rFonts w:ascii="IBM Plex Sans" w:eastAsia="IBM Plex Sans" w:hAnsi="IBM Plex Sans" w:cs="IBM Plex Sans"/>
          <w:sz w:val="20"/>
          <w:szCs w:val="20"/>
          <w:lang w:val="en-US"/>
        </w:rPr>
      </w:pPr>
    </w:p>
    <w:p w14:paraId="2E19B6BB" w14:textId="6AA16ACB" w:rsidR="119E215D" w:rsidRDefault="119E215D" w:rsidP="119E215D">
      <w:pPr>
        <w:spacing w:after="160" w:line="259" w:lineRule="auto"/>
        <w:rPr>
          <w:rFonts w:ascii="Calibri" w:eastAsia="Calibri" w:hAnsi="Calibri" w:cs="Calibri"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12936889" wp14:editId="19ACFD8C">
            <wp:extent cx="1028700" cy="361950"/>
            <wp:effectExtent l="0" t="0" r="0" b="0"/>
            <wp:docPr id="2101395970" name="Picture 210139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E581E" w14:textId="7319494F" w:rsidR="5A48BF88" w:rsidRPr="00F704C0" w:rsidRDefault="119E215D" w:rsidP="00F704C0">
      <w:pPr>
        <w:spacing w:after="160" w:line="259" w:lineRule="auto"/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</w:pPr>
      <w:r w:rsidRPr="119E215D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Pedagogy that Aids Transition </w:t>
      </w:r>
      <w:r w:rsidR="0086121D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>for</w:t>
      </w:r>
      <w:r w:rsidRPr="119E215D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 Higher-Ed Students by </w:t>
      </w:r>
      <w:r w:rsidRPr="119E215D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en-US"/>
        </w:rPr>
        <w:t xml:space="preserve">PATHS, York University </w:t>
      </w:r>
      <w:r w:rsidRPr="119E215D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is licensed under a </w:t>
      </w:r>
      <w:hyperlink r:id="rId13">
        <w:r w:rsidRPr="119E215D">
          <w:rPr>
            <w:rStyle w:val="Hyperlink"/>
            <w:rFonts w:ascii="IBM Plex Sans" w:eastAsia="IBM Plex Sans" w:hAnsi="IBM Plex Sans" w:cs="IBM Plex Sans"/>
            <w:sz w:val="18"/>
            <w:szCs w:val="18"/>
            <w:lang w:val="en-US"/>
          </w:rPr>
          <w:t>Creative Commons Attribution-NonCommercial-ShareAlike 4.0 International License</w:t>
        </w:r>
      </w:hyperlink>
      <w:r w:rsidRPr="119E215D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. If you reuse this work, please attribute </w:t>
      </w:r>
      <w:r w:rsidRPr="119E215D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  <w:lang w:val="en-US"/>
        </w:rPr>
        <w:t>PATHS, York University</w:t>
      </w:r>
      <w:r w:rsidRPr="119E215D">
        <w:rPr>
          <w:rFonts w:ascii="IBM Plex Sans" w:eastAsia="IBM Plex Sans" w:hAnsi="IBM Plex Sans" w:cs="IBM Plex Sans"/>
          <w:color w:val="000000" w:themeColor="text1"/>
          <w:sz w:val="18"/>
          <w:szCs w:val="18"/>
          <w:lang w:val="en-US"/>
        </w:rPr>
        <w:t xml:space="preserve"> and include a link to </w:t>
      </w:r>
      <w:hyperlink r:id="rId14">
        <w:r w:rsidRPr="119E215D">
          <w:rPr>
            <w:rStyle w:val="Hyperlink"/>
            <w:rFonts w:ascii="IBM Plex Sans" w:eastAsia="IBM Plex Sans" w:hAnsi="IBM Plex Sans" w:cs="IBM Plex Sans"/>
            <w:sz w:val="18"/>
            <w:szCs w:val="18"/>
            <w:lang w:val="en-US"/>
          </w:rPr>
          <w:t>https://www.yorku.ca/health/project/pat/</w:t>
        </w:r>
      </w:hyperlink>
    </w:p>
    <w:sectPr w:rsidR="5A48BF88" w:rsidRPr="00F704C0" w:rsidSect="00E03989">
      <w:headerReference w:type="default" r:id="rId15"/>
      <w:pgSz w:w="15840" w:h="12240" w:orient="landscape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46FA" w14:textId="77777777" w:rsidR="004B261C" w:rsidRDefault="004B261C" w:rsidP="00714245">
      <w:r>
        <w:separator/>
      </w:r>
    </w:p>
  </w:endnote>
  <w:endnote w:type="continuationSeparator" w:id="0">
    <w:p w14:paraId="15496731" w14:textId="77777777" w:rsidR="004B261C" w:rsidRDefault="004B261C" w:rsidP="0071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E12F" w14:textId="77777777" w:rsidR="004B261C" w:rsidRDefault="004B261C" w:rsidP="00714245">
      <w:r>
        <w:separator/>
      </w:r>
    </w:p>
  </w:footnote>
  <w:footnote w:type="continuationSeparator" w:id="0">
    <w:p w14:paraId="42C128BC" w14:textId="77777777" w:rsidR="004B261C" w:rsidRDefault="004B261C" w:rsidP="0071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69DF" w14:textId="6819A976" w:rsidR="00714245" w:rsidRDefault="00714245" w:rsidP="00714245">
    <w:pPr>
      <w:pStyle w:val="Header"/>
      <w:jc w:val="right"/>
    </w:pPr>
    <w:r>
      <w:rPr>
        <w:noProof/>
      </w:rPr>
      <w:drawing>
        <wp:inline distT="0" distB="0" distL="0" distR="0" wp14:anchorId="3B86FECA" wp14:editId="5BD88628">
          <wp:extent cx="1452269" cy="583809"/>
          <wp:effectExtent l="0" t="0" r="0" b="635"/>
          <wp:docPr id="520803917" name="Picture 5208039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803917" name="Picture 520803917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0" b="28830"/>
                  <a:stretch/>
                </pic:blipFill>
                <pic:spPr bwMode="auto">
                  <a:xfrm>
                    <a:off x="0" y="0"/>
                    <a:ext cx="1453896" cy="584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6DCD"/>
    <w:multiLevelType w:val="hybridMultilevel"/>
    <w:tmpl w:val="21227208"/>
    <w:lvl w:ilvl="0" w:tplc="284C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A3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6D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E2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A5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A1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45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4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00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90F9A"/>
    <w:multiLevelType w:val="hybridMultilevel"/>
    <w:tmpl w:val="C6AA1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6037"/>
    <w:multiLevelType w:val="hybridMultilevel"/>
    <w:tmpl w:val="C1A2EC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7A"/>
    <w:rsid w:val="00116F7F"/>
    <w:rsid w:val="001B2A77"/>
    <w:rsid w:val="004B261C"/>
    <w:rsid w:val="005A1FD5"/>
    <w:rsid w:val="00714245"/>
    <w:rsid w:val="0086121D"/>
    <w:rsid w:val="00CC4AF0"/>
    <w:rsid w:val="00D63433"/>
    <w:rsid w:val="00DA377A"/>
    <w:rsid w:val="00E02DE7"/>
    <w:rsid w:val="00E03989"/>
    <w:rsid w:val="00F704C0"/>
    <w:rsid w:val="0914D709"/>
    <w:rsid w:val="0E748F1B"/>
    <w:rsid w:val="119E215D"/>
    <w:rsid w:val="157915D4"/>
    <w:rsid w:val="20439409"/>
    <w:rsid w:val="22792787"/>
    <w:rsid w:val="2CA07353"/>
    <w:rsid w:val="2FC41055"/>
    <w:rsid w:val="30E65E3D"/>
    <w:rsid w:val="38F8162B"/>
    <w:rsid w:val="40547499"/>
    <w:rsid w:val="41F044FA"/>
    <w:rsid w:val="46762B38"/>
    <w:rsid w:val="479A5044"/>
    <w:rsid w:val="54A154C5"/>
    <w:rsid w:val="5636404D"/>
    <w:rsid w:val="5A48BF88"/>
    <w:rsid w:val="5C29966C"/>
    <w:rsid w:val="61CE86AA"/>
    <w:rsid w:val="62B43679"/>
    <w:rsid w:val="79E739A0"/>
    <w:rsid w:val="7A3D374B"/>
    <w:rsid w:val="7D5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B195"/>
  <w15:chartTrackingRefBased/>
  <w15:docId w15:val="{6DE5DAEA-1748-834C-9389-E5C11A5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7A"/>
    <w:pPr>
      <w:ind w:left="720"/>
      <w:contextualSpacing/>
    </w:pPr>
  </w:style>
  <w:style w:type="table" w:styleId="TableGrid">
    <w:name w:val="Table Grid"/>
    <w:basedOn w:val="TableNormal"/>
    <w:uiPriority w:val="39"/>
    <w:rsid w:val="00DA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45"/>
  </w:style>
  <w:style w:type="paragraph" w:styleId="Footer">
    <w:name w:val="footer"/>
    <w:basedOn w:val="Normal"/>
    <w:link w:val="FooterChar"/>
    <w:uiPriority w:val="99"/>
    <w:unhideWhenUsed/>
    <w:rsid w:val="00714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rcgt.uconn.edu/underachievement_study/self-regulation/sr_section7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lifescied.org/action/showCitFormats?doi=10.1187%2Fcbe.12-03-00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rku.ca/health/project/p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CE641-77B6-4DC6-B001-C3F42D29F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5EB5C-6AE3-4E65-B5E5-B96A8E0AF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F715F-2645-4411-B86B-D200EAF7C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Blair-Hamilton</dc:creator>
  <cp:keywords/>
  <dc:description/>
  <cp:lastModifiedBy>Yasaman Delaviz</cp:lastModifiedBy>
  <cp:revision>5</cp:revision>
  <dcterms:created xsi:type="dcterms:W3CDTF">2022-04-20T19:32:00Z</dcterms:created>
  <dcterms:modified xsi:type="dcterms:W3CDTF">2022-05-03T13:23:00Z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