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AC59" w14:textId="63016C9A" w:rsidR="00DC31DA" w:rsidRDefault="006A02CA" w:rsidP="00DC31DA">
      <w:pPr>
        <w:rPr>
          <w:rFonts w:ascii="Helvetica" w:hAnsi="Helvetica" w:cs="Helvetica"/>
          <w:color w:val="555555"/>
          <w:sz w:val="21"/>
          <w:szCs w:val="21"/>
          <w:shd w:val="clear" w:color="auto" w:fill="FFFFFF"/>
        </w:rPr>
      </w:pPr>
      <w:r w:rsidRPr="005E62D5">
        <w:rPr>
          <w:noProof/>
        </w:rPr>
        <w:drawing>
          <wp:anchor distT="0" distB="0" distL="114300" distR="114300" simplePos="0" relativeHeight="251662336" behindDoc="0" locked="0" layoutInCell="1" allowOverlap="1" wp14:anchorId="66A668BE" wp14:editId="190D1D43">
            <wp:simplePos x="0" y="0"/>
            <wp:positionH relativeFrom="margin">
              <wp:posOffset>3956050</wp:posOffset>
            </wp:positionH>
            <wp:positionV relativeFrom="margin">
              <wp:posOffset>7785100</wp:posOffset>
            </wp:positionV>
            <wp:extent cx="1767205" cy="444500"/>
            <wp:effectExtent l="0" t="0" r="4445" b="0"/>
            <wp:wrapSquare wrapText="bothSides"/>
            <wp:docPr id="96"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Pr="005E62D5">
        <w:rPr>
          <w:noProof/>
        </w:rPr>
        <w:drawing>
          <wp:anchor distT="0" distB="0" distL="114300" distR="114300" simplePos="0" relativeHeight="251659264" behindDoc="0" locked="0" layoutInCell="1" allowOverlap="1" wp14:anchorId="27285DD2" wp14:editId="52A409E5">
            <wp:simplePos x="0" y="0"/>
            <wp:positionH relativeFrom="margin">
              <wp:posOffset>1968500</wp:posOffset>
            </wp:positionH>
            <wp:positionV relativeFrom="margin">
              <wp:posOffset>7840345</wp:posOffset>
            </wp:positionV>
            <wp:extent cx="1468755" cy="292735"/>
            <wp:effectExtent l="0" t="0" r="4445" b="0"/>
            <wp:wrapSquare wrapText="bothSides"/>
            <wp:docPr id="97"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11" cstate="email">
                      <a:extLst>
                        <a:ext uri="{28A0092B-C50C-407E-A947-70E740481C1C}">
                          <a14:useLocalDpi xmlns:a14="http://schemas.microsoft.com/office/drawing/2010/main"/>
                        </a:ext>
                        <a:ext uri="{96DAC541-7B7A-43D3-8B79-37D633B846F1}">
                          <asvg:svgBlip xmlns:asvg="http://schemas.microsoft.com/office/drawing/2016/SVG/main" r:embed="rId12"/>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r w:rsidRPr="005E62D5">
        <w:rPr>
          <w:noProof/>
        </w:rPr>
        <w:drawing>
          <wp:anchor distT="0" distB="0" distL="114300" distR="114300" simplePos="0" relativeHeight="251655168" behindDoc="0" locked="0" layoutInCell="1" allowOverlap="1" wp14:anchorId="7A1C7067" wp14:editId="301113EF">
            <wp:simplePos x="0" y="0"/>
            <wp:positionH relativeFrom="margin">
              <wp:posOffset>-101600</wp:posOffset>
            </wp:positionH>
            <wp:positionV relativeFrom="page">
              <wp:posOffset>8307705</wp:posOffset>
            </wp:positionV>
            <wp:extent cx="1664970" cy="1109345"/>
            <wp:effectExtent l="0" t="0" r="0" b="0"/>
            <wp:wrapSquare wrapText="bothSides"/>
            <wp:docPr id="95"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r w:rsidR="00DC31DA" w:rsidRPr="00B46ADF">
        <w:rPr>
          <w:rFonts w:ascii="Helvetica" w:hAnsi="Helvetica" w:cs="Helvetica"/>
          <w:b/>
          <w:color w:val="555555"/>
          <w:sz w:val="21"/>
          <w:szCs w:val="21"/>
          <w:shd w:val="clear" w:color="auto" w:fill="FFFFFF"/>
        </w:rPr>
        <w:t>Asking better questions</w:t>
      </w:r>
      <w:r w:rsidR="00DC31DA">
        <w:rPr>
          <w:rFonts w:ascii="Helvetica" w:hAnsi="Helvetica" w:cs="Helvetica"/>
          <w:color w:val="555555"/>
          <w:sz w:val="21"/>
          <w:szCs w:val="21"/>
          <w:shd w:val="clear" w:color="auto" w:fill="FFFFFF"/>
        </w:rPr>
        <w:t xml:space="preserve"> </w:t>
      </w:r>
    </w:p>
    <w:p w14:paraId="0C9ECB6B" w14:textId="77777777" w:rsidR="00DC31DA" w:rsidRDefault="00DC31DA" w:rsidP="00DC31DA">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 xml:space="preserve">Study the prompt questions and use them as a resource with students. Do not be too impatient for quick answers after asking questions – give plenty of ‘wait time’ and encourage students not to say the ﬁrst thing that comes into their heads. </w:t>
      </w:r>
    </w:p>
    <w:p w14:paraId="42EE8FBA" w14:textId="77777777" w:rsidR="00DC31DA" w:rsidRDefault="00DC31DA" w:rsidP="00DC31DA">
      <w:pPr>
        <w:rPr>
          <w:rFonts w:ascii="Helvetica" w:hAnsi="Helvetica" w:cs="Helvetica"/>
          <w:color w:val="555555"/>
          <w:sz w:val="21"/>
          <w:szCs w:val="21"/>
          <w:shd w:val="clear" w:color="auto" w:fill="FFFFFF"/>
        </w:rPr>
      </w:pPr>
      <w:r w:rsidRPr="00B46ADF">
        <w:rPr>
          <w:rFonts w:ascii="Helvetica" w:hAnsi="Helvetica" w:cs="Helvetica"/>
          <w:b/>
          <w:color w:val="555555"/>
          <w:sz w:val="21"/>
          <w:szCs w:val="21"/>
          <w:shd w:val="clear" w:color="auto" w:fill="FFFFFF"/>
        </w:rPr>
        <w:t>Prompt questions</w:t>
      </w:r>
      <w:r>
        <w:rPr>
          <w:rFonts w:ascii="Helvetica" w:hAnsi="Helvetica" w:cs="Helvetica"/>
          <w:color w:val="555555"/>
          <w:sz w:val="21"/>
          <w:szCs w:val="21"/>
          <w:shd w:val="clear" w:color="auto" w:fill="FFFFFF"/>
        </w:rPr>
        <w:t xml:space="preserve"> </w:t>
      </w:r>
    </w:p>
    <w:p w14:paraId="03ECC450" w14:textId="77777777" w:rsidR="008D0205" w:rsidRDefault="00DC31DA" w:rsidP="00DC31DA">
      <w:pPr>
        <w:rPr>
          <w:rFonts w:ascii="Helvetica" w:hAnsi="Helvetica" w:cs="Helvetica"/>
          <w:b/>
          <w:color w:val="555555"/>
          <w:sz w:val="21"/>
          <w:szCs w:val="21"/>
          <w:shd w:val="clear" w:color="auto" w:fill="FFFFFF"/>
        </w:rPr>
      </w:pPr>
      <w:r>
        <w:rPr>
          <w:rFonts w:ascii="Helvetica" w:hAnsi="Helvetica" w:cs="Helvetica"/>
          <w:color w:val="555555"/>
          <w:sz w:val="21"/>
          <w:szCs w:val="21"/>
          <w:shd w:val="clear" w:color="auto" w:fill="FFFFFF"/>
        </w:rPr>
        <w:t>The key to effective questioning is to ask as many open questions as possible – i.e. those that do not allow students to answer in ‘yes’ or ‘no’ responses. The following questions provide examples you might use in classroom contexts.</w:t>
      </w:r>
      <w:r>
        <w:rPr>
          <w:rFonts w:ascii="Helvetica" w:hAnsi="Helvetica" w:cs="Helvetica"/>
          <w:color w:val="555555"/>
          <w:sz w:val="21"/>
          <w:szCs w:val="21"/>
        </w:rPr>
        <w:br/>
      </w:r>
    </w:p>
    <w:p w14:paraId="635B9D03" w14:textId="6A9C2964" w:rsidR="00DC31DA" w:rsidRDefault="00DC31DA" w:rsidP="00DC31DA">
      <w:pPr>
        <w:rPr>
          <w:rFonts w:ascii="Helvetica" w:hAnsi="Helvetica" w:cs="Helvetica"/>
          <w:color w:val="555555"/>
          <w:sz w:val="21"/>
          <w:szCs w:val="21"/>
          <w:shd w:val="clear" w:color="auto" w:fill="FFFFFF"/>
        </w:rPr>
      </w:pPr>
      <w:r w:rsidRPr="00B46ADF">
        <w:rPr>
          <w:rFonts w:ascii="Helvetica" w:hAnsi="Helvetica" w:cs="Helvetica"/>
          <w:b/>
          <w:color w:val="555555"/>
          <w:sz w:val="21"/>
          <w:szCs w:val="21"/>
          <w:shd w:val="clear" w:color="auto" w:fill="FFFFFF"/>
        </w:rPr>
        <w:t xml:space="preserve">General </w:t>
      </w:r>
      <w:r>
        <w:rPr>
          <w:rFonts w:ascii="Helvetica" w:hAnsi="Helvetica" w:cs="Helvetica"/>
          <w:color w:val="555555"/>
          <w:sz w:val="21"/>
          <w:szCs w:val="21"/>
          <w:shd w:val="clear" w:color="auto" w:fill="FFFFFF"/>
        </w:rPr>
        <w:t xml:space="preserve">The following words can all begin useful questions about the subject matter or concepts you’re teaching What? Why? Where? When? How? </w:t>
      </w:r>
    </w:p>
    <w:p w14:paraId="4CA3637E" w14:textId="77777777" w:rsidR="00DC31DA" w:rsidRDefault="00DC31DA" w:rsidP="00DC31DA">
      <w:pPr>
        <w:rPr>
          <w:rFonts w:ascii="Helvetica" w:hAnsi="Helvetica" w:cs="Helvetica"/>
          <w:color w:val="555555"/>
          <w:sz w:val="21"/>
          <w:szCs w:val="21"/>
          <w:shd w:val="clear" w:color="auto" w:fill="FFFFFF"/>
        </w:rPr>
      </w:pPr>
      <w:r w:rsidRPr="00B46ADF">
        <w:rPr>
          <w:rFonts w:ascii="Helvetica" w:hAnsi="Helvetica" w:cs="Helvetica"/>
          <w:b/>
          <w:color w:val="555555"/>
          <w:sz w:val="21"/>
          <w:szCs w:val="21"/>
          <w:shd w:val="clear" w:color="auto" w:fill="FFFFFF"/>
        </w:rPr>
        <w:t>Checking understanding</w:t>
      </w:r>
      <w:r>
        <w:rPr>
          <w:rFonts w:ascii="Helvetica" w:hAnsi="Helvetica" w:cs="Helvetica"/>
          <w:color w:val="555555"/>
          <w:sz w:val="21"/>
          <w:szCs w:val="21"/>
          <w:shd w:val="clear" w:color="auto" w:fill="FFFFFF"/>
        </w:rPr>
        <w:t xml:space="preserve"> What can you tell me about what you’ve just learnt? What new points have come out of this? Will someone tell me how this works? How much sense has this made? How does this compare with what we learn last lesson?</w:t>
      </w:r>
    </w:p>
    <w:p w14:paraId="332CA5BA" w14:textId="77777777" w:rsidR="00DC31DA" w:rsidRDefault="00DC31DA" w:rsidP="00DC31DA">
      <w:pPr>
        <w:rPr>
          <w:rFonts w:ascii="Helvetica" w:hAnsi="Helvetica" w:cs="Helvetica"/>
          <w:color w:val="555555"/>
          <w:sz w:val="21"/>
          <w:szCs w:val="21"/>
          <w:shd w:val="clear" w:color="auto" w:fill="FFFFFF"/>
        </w:rPr>
      </w:pPr>
      <w:r w:rsidRPr="00B46ADF">
        <w:rPr>
          <w:rFonts w:ascii="Helvetica" w:hAnsi="Helvetica" w:cs="Helvetica"/>
          <w:b/>
          <w:color w:val="555555"/>
          <w:sz w:val="21"/>
          <w:szCs w:val="21"/>
          <w:shd w:val="clear" w:color="auto" w:fill="FFFFFF"/>
        </w:rPr>
        <w:t>Asking for more detail</w:t>
      </w:r>
      <w:r>
        <w:rPr>
          <w:rFonts w:ascii="Helvetica" w:hAnsi="Helvetica" w:cs="Helvetica"/>
          <w:color w:val="555555"/>
          <w:sz w:val="21"/>
          <w:szCs w:val="21"/>
          <w:shd w:val="clear" w:color="auto" w:fill="FFFFFF"/>
        </w:rPr>
        <w:t xml:space="preserve"> </w:t>
      </w:r>
    </w:p>
    <w:p w14:paraId="52DE98F3" w14:textId="77777777" w:rsidR="00DC31DA" w:rsidRDefault="00DC31DA" w:rsidP="00DC31DA">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What else can you tell me about that? How can you expand on that point? What examples show you this? Where exactly is this the case? What else do you know that supports this view?</w:t>
      </w:r>
    </w:p>
    <w:p w14:paraId="409E8DF3" w14:textId="77777777" w:rsidR="00DC31DA" w:rsidRDefault="00DC31DA" w:rsidP="00DC31DA">
      <w:pPr>
        <w:rPr>
          <w:rFonts w:ascii="Helvetica" w:hAnsi="Helvetica" w:cs="Helvetica"/>
          <w:color w:val="555555"/>
          <w:sz w:val="21"/>
          <w:szCs w:val="21"/>
          <w:shd w:val="clear" w:color="auto" w:fill="FFFFFF"/>
        </w:rPr>
      </w:pPr>
      <w:r w:rsidRPr="00B46ADF">
        <w:rPr>
          <w:rFonts w:ascii="Helvetica" w:hAnsi="Helvetica" w:cs="Helvetica"/>
          <w:b/>
          <w:color w:val="555555"/>
          <w:sz w:val="21"/>
          <w:szCs w:val="21"/>
          <w:shd w:val="clear" w:color="auto" w:fill="FFFFFF"/>
        </w:rPr>
        <w:t>Seeking justiﬁcation</w:t>
      </w:r>
      <w:r>
        <w:rPr>
          <w:rFonts w:ascii="Helvetica" w:hAnsi="Helvetica" w:cs="Helvetica"/>
          <w:color w:val="555555"/>
          <w:sz w:val="21"/>
          <w:szCs w:val="21"/>
          <w:shd w:val="clear" w:color="auto" w:fill="FFFFFF"/>
        </w:rPr>
        <w:t xml:space="preserve"> </w:t>
      </w:r>
    </w:p>
    <w:p w14:paraId="1DB87DCB" w14:textId="77777777" w:rsidR="00DC31DA" w:rsidRDefault="00DC31DA" w:rsidP="00DC31DA">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 xml:space="preserve">How do you know this is true? What evidence backs up what you’re saying? Is this always the case? How sure are you about this? How might others see this problem? </w:t>
      </w:r>
    </w:p>
    <w:p w14:paraId="49BE9868" w14:textId="77777777" w:rsidR="00DC31DA" w:rsidRDefault="00DC31DA" w:rsidP="00DC31DA">
      <w:pPr>
        <w:rPr>
          <w:rFonts w:ascii="Helvetica" w:hAnsi="Helvetica" w:cs="Helvetica"/>
          <w:color w:val="555555"/>
          <w:sz w:val="21"/>
          <w:szCs w:val="21"/>
          <w:shd w:val="clear" w:color="auto" w:fill="FFFFFF"/>
        </w:rPr>
      </w:pPr>
      <w:r w:rsidRPr="00B46ADF">
        <w:rPr>
          <w:rFonts w:ascii="Helvetica" w:hAnsi="Helvetica" w:cs="Helvetica"/>
          <w:b/>
          <w:color w:val="555555"/>
          <w:sz w:val="21"/>
          <w:szCs w:val="21"/>
          <w:shd w:val="clear" w:color="auto" w:fill="FFFFFF"/>
        </w:rPr>
        <w:t>Creative thinking</w:t>
      </w:r>
      <w:r>
        <w:rPr>
          <w:rFonts w:ascii="Helvetica" w:hAnsi="Helvetica" w:cs="Helvetica"/>
          <w:color w:val="555555"/>
          <w:sz w:val="21"/>
          <w:szCs w:val="21"/>
          <w:shd w:val="clear" w:color="auto" w:fill="FFFFFF"/>
        </w:rPr>
        <w:t xml:space="preserve"> </w:t>
      </w:r>
    </w:p>
    <w:p w14:paraId="2FE9A872" w14:textId="77777777" w:rsidR="00DC31DA" w:rsidRDefault="00DC31DA" w:rsidP="00DC31DA">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 xml:space="preserve">What could be a possible solution to this? How would a practical person look at this situation? How might people solve this problem? How can we think about this in a new or different way? What new ideas could help here? </w:t>
      </w:r>
    </w:p>
    <w:p w14:paraId="31EFEF03" w14:textId="77777777" w:rsidR="00DC31DA" w:rsidRDefault="00DC31DA" w:rsidP="00DC31DA">
      <w:pPr>
        <w:rPr>
          <w:rFonts w:ascii="Helvetica" w:hAnsi="Helvetica" w:cs="Helvetica"/>
          <w:color w:val="555555"/>
          <w:sz w:val="21"/>
          <w:szCs w:val="21"/>
          <w:shd w:val="clear" w:color="auto" w:fill="FFFFFF"/>
        </w:rPr>
      </w:pPr>
      <w:r w:rsidRPr="00B46ADF">
        <w:rPr>
          <w:rFonts w:ascii="Helvetica" w:hAnsi="Helvetica" w:cs="Helvetica"/>
          <w:b/>
          <w:color w:val="555555"/>
          <w:sz w:val="21"/>
          <w:szCs w:val="21"/>
          <w:shd w:val="clear" w:color="auto" w:fill="FFFFFF"/>
        </w:rPr>
        <w:t>Evaluation</w:t>
      </w:r>
      <w:r>
        <w:rPr>
          <w:rFonts w:ascii="Helvetica" w:hAnsi="Helvetica" w:cs="Helvetica"/>
          <w:color w:val="555555"/>
          <w:sz w:val="21"/>
          <w:szCs w:val="21"/>
          <w:shd w:val="clear" w:color="auto" w:fill="FFFFFF"/>
        </w:rPr>
        <w:t xml:space="preserve"> </w:t>
      </w:r>
    </w:p>
    <w:p w14:paraId="5CB11882" w14:textId="77777777" w:rsidR="00DC31DA" w:rsidRDefault="00DC31DA" w:rsidP="00DC31DA">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 xml:space="preserve">What information is most useful here? Which approaches worked best? Why? To what extent has this been successful? To what degree was she justiﬁed in taking those actions? How important are the lessons that have been learnt here? </w:t>
      </w:r>
    </w:p>
    <w:p w14:paraId="11062BF0" w14:textId="77777777" w:rsidR="00DC31DA" w:rsidRDefault="00DC31DA" w:rsidP="00DC31DA">
      <w:pPr>
        <w:rPr>
          <w:rFonts w:ascii="Helvetica" w:hAnsi="Helvetica" w:cs="Helvetica"/>
          <w:color w:val="555555"/>
          <w:sz w:val="21"/>
          <w:szCs w:val="21"/>
          <w:shd w:val="clear" w:color="auto" w:fill="FFFFFF"/>
        </w:rPr>
      </w:pPr>
      <w:r w:rsidRPr="00B46ADF">
        <w:rPr>
          <w:rFonts w:ascii="Helvetica" w:hAnsi="Helvetica" w:cs="Helvetica"/>
          <w:b/>
          <w:color w:val="555555"/>
          <w:sz w:val="21"/>
          <w:szCs w:val="21"/>
          <w:shd w:val="clear" w:color="auto" w:fill="FFFFFF"/>
        </w:rPr>
        <w:t>Summing up</w:t>
      </w:r>
      <w:r>
        <w:rPr>
          <w:rFonts w:ascii="Helvetica" w:hAnsi="Helvetica" w:cs="Helvetica"/>
          <w:color w:val="555555"/>
          <w:sz w:val="21"/>
          <w:szCs w:val="21"/>
          <w:shd w:val="clear" w:color="auto" w:fill="FFFFFF"/>
        </w:rPr>
        <w:t xml:space="preserve"> </w:t>
      </w:r>
    </w:p>
    <w:p w14:paraId="6EEAF17B" w14:textId="6BC56521" w:rsidR="00DC31DA" w:rsidRDefault="00DC31DA" w:rsidP="00DC31DA">
      <w:pPr>
        <w:pStyle w:val="NoSpacing"/>
      </w:pPr>
      <w:r>
        <w:rPr>
          <w:rFonts w:ascii="Helvetica" w:hAnsi="Helvetica" w:cs="Helvetica"/>
          <w:color w:val="555555"/>
          <w:sz w:val="21"/>
          <w:szCs w:val="21"/>
          <w:shd w:val="clear" w:color="auto" w:fill="FFFFFF"/>
        </w:rPr>
        <w:t xml:space="preserve">What is the main message here? In a few words what is this saying to you? What are the most important things you’ve learnt? How would you put this simply? What could </w:t>
      </w:r>
      <w:r w:rsidR="00F4394F">
        <w:rPr>
          <w:rFonts w:ascii="Helvetica" w:hAnsi="Helvetica" w:cs="Helvetica"/>
          <w:color w:val="555555"/>
          <w:sz w:val="21"/>
          <w:szCs w:val="21"/>
          <w:shd w:val="clear" w:color="auto" w:fill="FFFFFF"/>
        </w:rPr>
        <w:t xml:space="preserve">be </w:t>
      </w:r>
      <w:r>
        <w:rPr>
          <w:rFonts w:ascii="Helvetica" w:hAnsi="Helvetica" w:cs="Helvetica"/>
          <w:color w:val="555555"/>
          <w:sz w:val="21"/>
          <w:szCs w:val="21"/>
          <w:shd w:val="clear" w:color="auto" w:fill="FFFFFF"/>
        </w:rPr>
        <w:t xml:space="preserve">a headline </w:t>
      </w:r>
      <w:bookmarkStart w:id="0" w:name="_GoBack"/>
      <w:bookmarkEnd w:id="0"/>
      <w:r w:rsidR="00F4394F">
        <w:rPr>
          <w:rFonts w:ascii="Helvetica" w:hAnsi="Helvetica" w:cs="Helvetica"/>
          <w:color w:val="555555"/>
          <w:sz w:val="21"/>
          <w:szCs w:val="21"/>
          <w:shd w:val="clear" w:color="auto" w:fill="FFFFFF"/>
        </w:rPr>
        <w:t xml:space="preserve">for </w:t>
      </w:r>
      <w:r>
        <w:rPr>
          <w:rFonts w:ascii="Helvetica" w:hAnsi="Helvetica" w:cs="Helvetica"/>
          <w:color w:val="555555"/>
          <w:sz w:val="21"/>
          <w:szCs w:val="21"/>
          <w:shd w:val="clear" w:color="auto" w:fill="FFFFFF"/>
        </w:rPr>
        <w:t>this?</w:t>
      </w:r>
      <w:r>
        <w:rPr>
          <w:rFonts w:ascii="Helvetica" w:hAnsi="Helvetica" w:cs="Helvetica"/>
          <w:color w:val="555555"/>
          <w:sz w:val="21"/>
          <w:szCs w:val="21"/>
        </w:rPr>
        <w:br/>
      </w:r>
    </w:p>
    <w:p w14:paraId="65932563" w14:textId="6AD39E30" w:rsidR="00DC31DA" w:rsidRPr="008D0205" w:rsidRDefault="00DC31DA" w:rsidP="008D0205">
      <w:pPr>
        <w:pStyle w:val="NoSpacing"/>
        <w:rPr>
          <w:rFonts w:ascii="Arial" w:hAnsi="Arial" w:cs="Arial"/>
          <w:color w:val="000000"/>
          <w:sz w:val="24"/>
          <w:szCs w:val="24"/>
        </w:rPr>
      </w:pPr>
      <w:r w:rsidRPr="008D0205">
        <w:rPr>
          <w:rFonts w:ascii="Arial" w:hAnsi="Arial" w:cs="Arial"/>
          <w:sz w:val="24"/>
          <w:szCs w:val="24"/>
        </w:rPr>
        <w:t xml:space="preserve">Source: </w:t>
      </w:r>
      <w:r w:rsidR="008D0205" w:rsidRPr="008D0205">
        <w:rPr>
          <w:rFonts w:ascii="Arial" w:hAnsi="Arial" w:cs="Arial"/>
          <w:color w:val="000000"/>
          <w:sz w:val="24"/>
          <w:szCs w:val="24"/>
          <w:shd w:val="clear" w:color="auto" w:fill="FFFFFF"/>
        </w:rPr>
        <w:t>Best, Brin, and Will Thomas. </w:t>
      </w:r>
      <w:r w:rsidR="008D0205" w:rsidRPr="008D0205">
        <w:rPr>
          <w:rStyle w:val="Emphasis"/>
          <w:rFonts w:ascii="Arial" w:hAnsi="Arial" w:cs="Arial"/>
          <w:color w:val="000000"/>
          <w:sz w:val="24"/>
          <w:szCs w:val="24"/>
          <w:shd w:val="clear" w:color="auto" w:fill="FFFFFF"/>
        </w:rPr>
        <w:t>The Creative Teaching and Learning Resource Book</w:t>
      </w:r>
      <w:r w:rsidR="008D0205" w:rsidRPr="008D0205">
        <w:rPr>
          <w:rFonts w:ascii="Arial" w:hAnsi="Arial" w:cs="Arial"/>
          <w:color w:val="000000"/>
          <w:sz w:val="24"/>
          <w:szCs w:val="24"/>
          <w:shd w:val="clear" w:color="auto" w:fill="FFFFFF"/>
        </w:rPr>
        <w:t>, Bloomsbury Publishing Plc, 2008.</w:t>
      </w:r>
      <w:r w:rsidR="008D0205" w:rsidRPr="008D0205">
        <w:rPr>
          <w:rStyle w:val="Emphasis"/>
          <w:rFonts w:ascii="Arial" w:hAnsi="Arial" w:cs="Arial"/>
          <w:color w:val="000000"/>
          <w:sz w:val="24"/>
          <w:szCs w:val="24"/>
          <w:shd w:val="clear" w:color="auto" w:fill="FFFFFF"/>
        </w:rPr>
        <w:t xml:space="preserve"> ProQuest </w:t>
      </w:r>
      <w:proofErr w:type="spellStart"/>
      <w:r w:rsidR="008D0205" w:rsidRPr="008D0205">
        <w:rPr>
          <w:rStyle w:val="Emphasis"/>
          <w:rFonts w:ascii="Arial" w:hAnsi="Arial" w:cs="Arial"/>
          <w:color w:val="000000"/>
          <w:sz w:val="24"/>
          <w:szCs w:val="24"/>
          <w:shd w:val="clear" w:color="auto" w:fill="FFFFFF"/>
        </w:rPr>
        <w:t>Ebook</w:t>
      </w:r>
      <w:proofErr w:type="spellEnd"/>
      <w:r w:rsidR="008D0205" w:rsidRPr="008D0205">
        <w:rPr>
          <w:rStyle w:val="Emphasis"/>
          <w:rFonts w:ascii="Arial" w:hAnsi="Arial" w:cs="Arial"/>
          <w:color w:val="000000"/>
          <w:sz w:val="24"/>
          <w:szCs w:val="24"/>
          <w:shd w:val="clear" w:color="auto" w:fill="FFFFFF"/>
        </w:rPr>
        <w:t xml:space="preserve"> Central</w:t>
      </w:r>
      <w:r w:rsidR="008D0205" w:rsidRPr="008D0205">
        <w:rPr>
          <w:rFonts w:ascii="Arial" w:hAnsi="Arial" w:cs="Arial"/>
          <w:color w:val="000000"/>
          <w:sz w:val="24"/>
          <w:szCs w:val="24"/>
          <w:shd w:val="clear" w:color="auto" w:fill="FFFFFF"/>
        </w:rPr>
        <w:t>, http://ebookcentral.proquest.com/lib/senecac/detail.action?docID=601600</w:t>
      </w:r>
    </w:p>
    <w:p w14:paraId="045386F7" w14:textId="77777777" w:rsidR="00DC31DA" w:rsidRPr="008D0205" w:rsidRDefault="00DC31DA" w:rsidP="00DC31DA">
      <w:pPr>
        <w:tabs>
          <w:tab w:val="left" w:pos="0"/>
        </w:tabs>
        <w:spacing w:line="360" w:lineRule="auto"/>
        <w:jc w:val="both"/>
        <w:rPr>
          <w:rFonts w:ascii="Arial" w:hAnsi="Arial" w:cs="Arial"/>
          <w:color w:val="000000"/>
          <w:sz w:val="24"/>
          <w:szCs w:val="24"/>
        </w:rPr>
      </w:pPr>
    </w:p>
    <w:p w14:paraId="5CAD673C" w14:textId="4FDA8631" w:rsidR="005E62D5" w:rsidRDefault="005E62D5" w:rsidP="005E62D5">
      <w:pPr>
        <w:spacing w:line="360" w:lineRule="auto"/>
        <w:rPr>
          <w:rFonts w:ascii="Arial" w:hAnsi="Arial" w:cs="Arial"/>
          <w:color w:val="000000"/>
          <w:sz w:val="24"/>
          <w:szCs w:val="24"/>
        </w:rPr>
      </w:pPr>
    </w:p>
    <w:sectPr w:rsidR="005E62D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4D6C" w14:textId="77777777" w:rsidR="00ED0F3E" w:rsidRDefault="00ED0F3E" w:rsidP="006A02CA">
      <w:pPr>
        <w:spacing w:after="0" w:line="240" w:lineRule="auto"/>
      </w:pPr>
      <w:r>
        <w:separator/>
      </w:r>
    </w:p>
  </w:endnote>
  <w:endnote w:type="continuationSeparator" w:id="0">
    <w:p w14:paraId="3F90B88C" w14:textId="77777777" w:rsidR="00ED0F3E" w:rsidRDefault="00ED0F3E"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D8D9B" w14:textId="3ECCCE84" w:rsidR="00372825" w:rsidRDefault="00372825">
    <w:pPr>
      <w:pStyle w:val="Footer"/>
    </w:pPr>
    <w:r>
      <w:ptab w:relativeTo="margin" w:alignment="center" w:leader="none"/>
    </w:r>
    <w:r w:rsidR="00DC31DA" w:rsidRPr="00DC31DA">
      <w:t xml:space="preserve"> </w:t>
    </w:r>
    <w:r w:rsidR="00DC31DA">
      <w:t xml:space="preserve">Gloria McPherson– Seneca College </w:t>
    </w:r>
    <w:r w:rsidR="00DC31DA">
      <w:rPr>
        <w:rFonts w:cstheme="minorHAnsi"/>
      </w:rPr>
      <w:t>|</w:t>
    </w:r>
    <w:r w:rsidR="00DC31DA">
      <w:t xml:space="preserve"> </w:t>
    </w:r>
    <w:r w:rsidR="001A3A6C">
      <w:t xml:space="preserve">Catherine Dunn - Humber College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35A0" w14:textId="77777777" w:rsidR="00ED0F3E" w:rsidRDefault="00ED0F3E" w:rsidP="006A02CA">
      <w:pPr>
        <w:spacing w:after="0" w:line="240" w:lineRule="auto"/>
      </w:pPr>
      <w:r>
        <w:separator/>
      </w:r>
    </w:p>
  </w:footnote>
  <w:footnote w:type="continuationSeparator" w:id="0">
    <w:p w14:paraId="2AF61CB7" w14:textId="77777777" w:rsidR="00ED0F3E" w:rsidRDefault="00ED0F3E"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EE16" w14:textId="51C758CE" w:rsidR="00372825" w:rsidRDefault="00DC31DA" w:rsidP="00372825">
    <w:pPr>
      <w:pStyle w:val="Heading1"/>
    </w:pPr>
    <w:r>
      <w:t>Asking Better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C7D15"/>
    <w:multiLevelType w:val="hybridMultilevel"/>
    <w:tmpl w:val="D608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60753"/>
    <w:multiLevelType w:val="hybridMultilevel"/>
    <w:tmpl w:val="A804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7E"/>
    <w:rsid w:val="000402C4"/>
    <w:rsid w:val="000C2A7E"/>
    <w:rsid w:val="001A3A6C"/>
    <w:rsid w:val="00372825"/>
    <w:rsid w:val="00463962"/>
    <w:rsid w:val="005E62D5"/>
    <w:rsid w:val="006A02CA"/>
    <w:rsid w:val="00742040"/>
    <w:rsid w:val="007E5352"/>
    <w:rsid w:val="008D0205"/>
    <w:rsid w:val="009A6261"/>
    <w:rsid w:val="00AE15C3"/>
    <w:rsid w:val="00CA08C7"/>
    <w:rsid w:val="00DC31DA"/>
    <w:rsid w:val="00DE38AD"/>
    <w:rsid w:val="00E66948"/>
    <w:rsid w:val="00ED0F3E"/>
    <w:rsid w:val="00F4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8253"/>
  <w15:chartTrackingRefBased/>
  <w15:docId w15:val="{EA40AB37-5CF1-48EC-BE9D-E81CCD9D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34"/>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C2A7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C31DA"/>
    <w:pPr>
      <w:spacing w:after="0" w:line="240" w:lineRule="auto"/>
    </w:pPr>
  </w:style>
  <w:style w:type="character" w:styleId="Emphasis">
    <w:name w:val="Emphasis"/>
    <w:basedOn w:val="DefaultParagraphFont"/>
    <w:uiPriority w:val="20"/>
    <w:qFormat/>
    <w:rsid w:val="008D02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1101">
      <w:bodyDiv w:val="1"/>
      <w:marLeft w:val="0"/>
      <w:marRight w:val="0"/>
      <w:marTop w:val="0"/>
      <w:marBottom w:val="0"/>
      <w:divBdr>
        <w:top w:val="none" w:sz="0" w:space="0" w:color="auto"/>
        <w:left w:val="none" w:sz="0" w:space="0" w:color="auto"/>
        <w:bottom w:val="none" w:sz="0" w:space="0" w:color="auto"/>
        <w:right w:val="none" w:sz="0" w:space="0" w:color="auto"/>
      </w:divBdr>
    </w:div>
    <w:div w:id="19988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11F528A7CB5D4E9806BFA4A3A4B1F8" ma:contentTypeVersion="14" ma:contentTypeDescription="Create a new document." ma:contentTypeScope="" ma:versionID="305a93df84394e1ba94295c9aa103c01">
  <xsd:schema xmlns:xsd="http://www.w3.org/2001/XMLSchema" xmlns:xs="http://www.w3.org/2001/XMLSchema" xmlns:p="http://schemas.microsoft.com/office/2006/metadata/properties" xmlns:ns3="d04e0237-178d-43c0-a876-95063d7f6de2" xmlns:ns4="6b2cdd5b-1101-4a40-9130-7e203b610b4a" targetNamespace="http://schemas.microsoft.com/office/2006/metadata/properties" ma:root="true" ma:fieldsID="a8fb06805540809efa9c84d003556bbd" ns3:_="" ns4:_="">
    <xsd:import namespace="d04e0237-178d-43c0-a876-95063d7f6de2"/>
    <xsd:import namespace="6b2cdd5b-1101-4a40-9130-7e203b610b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e0237-178d-43c0-a876-95063d7f6d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cdd5b-1101-4a40-9130-7e203b610b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EEAAE-012E-4785-921D-72144FF5B7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04e0237-178d-43c0-a876-95063d7f6de2"/>
    <ds:schemaRef ds:uri="http://purl.org/dc/terms/"/>
    <ds:schemaRef ds:uri="http://schemas.openxmlformats.org/package/2006/metadata/core-properties"/>
    <ds:schemaRef ds:uri="6b2cdd5b-1101-4a40-9130-7e203b610b4a"/>
    <ds:schemaRef ds:uri="http://www.w3.org/XML/1998/namespace"/>
    <ds:schemaRef ds:uri="http://purl.org/dc/dcmitype/"/>
  </ds:schemaRefs>
</ds:datastoreItem>
</file>

<file path=customXml/itemProps2.xml><?xml version="1.0" encoding="utf-8"?>
<ds:datastoreItem xmlns:ds="http://schemas.openxmlformats.org/officeDocument/2006/customXml" ds:itemID="{450436B4-60F7-4EC0-972B-D695A447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e0237-178d-43c0-a876-95063d7f6de2"/>
    <ds:schemaRef ds:uri="6b2cdd5b-1101-4a40-9130-7e203b610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85FAD-99D2-4F81-B98E-507260D51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Bad Teaching Transcript</Template>
  <TotalTime>5</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4</cp:revision>
  <cp:lastPrinted>2021-12-16T08:27:00Z</cp:lastPrinted>
  <dcterms:created xsi:type="dcterms:W3CDTF">2021-12-16T08:27:00Z</dcterms:created>
  <dcterms:modified xsi:type="dcterms:W3CDTF">2022-01-12T05:22:00Z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0x010100D711F528A7CB5D4E9806BFA4A3A4B1F8</vt:lpwstr>
  </property>
</Properties>
</file>