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2wntw0ko4hw1" w:id="0"/>
      <w:bookmarkEnd w:id="0"/>
      <w:r w:rsidDel="00000000" w:rsidR="00000000" w:rsidRPr="00000000">
        <w:rPr>
          <w:rtl w:val="0"/>
        </w:rPr>
        <w:t xml:space="preserve">Sample of Strategies for Evaluating Teaching Effectiveness</w:t>
      </w:r>
    </w:p>
    <w:p w:rsidR="00000000" w:rsidDel="00000000" w:rsidP="00000000" w:rsidRDefault="00000000" w:rsidRPr="00000000" w14:paraId="00000002">
      <w:pPr>
        <w:pStyle w:val="Heading1"/>
        <w:rPr/>
      </w:pPr>
      <w:bookmarkStart w:colFirst="0" w:colLast="0" w:name="_hg5nkpui5o0t" w:id="1"/>
      <w:bookmarkEnd w:id="1"/>
      <w:r w:rsidDel="00000000" w:rsidR="00000000" w:rsidRPr="00000000">
        <w:rPr>
          <w:rtl w:val="0"/>
        </w:rPr>
        <w:t xml:space="preserve">Survey of 12 Strategies to Measure Teaching Effectiveness - Berk (2005)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Student ratings</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Peer ratings</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Self-evaluation</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Videos</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Student interviews</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Alumni ratings</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Employer ratings</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Administrator ratings</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Teaching scholarship</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Teaching awards</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Learning outcome measures</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Teaching portfolio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p42wkpfop6d6" w:id="2"/>
      <w:bookmarkEnd w:id="2"/>
      <w:r w:rsidDel="00000000" w:rsidR="00000000" w:rsidRPr="00000000">
        <w:rPr>
          <w:rtl w:val="0"/>
        </w:rPr>
        <w:t xml:space="preserve"> Administrative Courage to Evaluate the Complexities of Teaching - North (1999)</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Peer evaluation</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Student evaluation and input</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Personal reflection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bsoaiyoozs53" w:id="3"/>
      <w:bookmarkEnd w:id="3"/>
      <w:r w:rsidDel="00000000" w:rsidR="00000000" w:rsidRPr="00000000">
        <w:rPr>
          <w:rtl w:val="0"/>
        </w:rPr>
        <w:t xml:space="preserve">Statement on Student Evaluations of Teaching - American Sociological Association (2019)</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ASA (2019) suggests a “Holistic assessment that includes peer observations, reviews of teaching materials, and instructor self-reflections” (p. 2) be used to measure effectiveness of teaching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bookmarkStart w:colFirst="0" w:colLast="0" w:name="_8z1dxcsl1ceu" w:id="4"/>
      <w:bookmarkEnd w:id="4"/>
      <w:r w:rsidDel="00000000" w:rsidR="00000000" w:rsidRPr="00000000">
        <w:rPr>
          <w:rtl w:val="0"/>
        </w:rPr>
        <w:t xml:space="preserve">Aspirational Model Teaching Criteria for Psychology - Richmond et al. (2014) </w:t>
      </w:r>
    </w:p>
    <w:p w:rsidR="00000000" w:rsidDel="00000000" w:rsidP="00000000" w:rsidRDefault="00000000" w:rsidRPr="00000000" w14:paraId="0000001D">
      <w:pPr>
        <w:rPr/>
      </w:pPr>
      <w:r w:rsidDel="00000000" w:rsidR="00000000" w:rsidRPr="00000000">
        <w:rPr>
          <w:rtl w:val="0"/>
        </w:rPr>
        <w:t xml:space="preserve">The Model Teaching Criteria consist of three components: the specific criteria, suggestions for evidence that can be used to document consistency with the criteria, and references to documents that support the inclusion of specific criteria. Here, we focus on the suggested sources of evidence below:</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CV with degrees listed</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Copies of graduate transcripts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Publications/presentations in content areas taught</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Graduate-level pedagogical training (e.g., courses in educational psychology or college teaching)</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Records of continuing education such as conferences, workshops, professional society participation</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Scholarship of teaching and learning publications/presentations/projects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Sample lesson plans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Syllabi</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Records of classroom observation (e.g., by peers, chairs, teaching center staff)</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Teaching awards</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Student evaluations of teaching</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List of objectives for courses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Examples of changes in syllabi, course material, lesson plans, or teaching methods illustrating change based on formal and informal assessment</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Local dissemination of knowledge about teaching (e.g, workshops, in-services, and professional development groups)</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Sample evaluations of student learning</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Types of feedback (e.g., formative, summative)</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Course assessments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Course policies</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Course goals</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Course schedule</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Syllabi with course schedules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Sample student work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