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10"/>
        <w:gridCol w:w="2490"/>
        <w:gridCol w:w="5460"/>
        <w:tblGridChange w:id="0">
          <w:tblGrid>
            <w:gridCol w:w="5010"/>
            <w:gridCol w:w="2490"/>
            <w:gridCol w:w="54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Unit 1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Unit 1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 B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Module 1: HyFlex Course Outline and Assessment Design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Module 2: HyFlex Lesson Plans and Content Design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Module 3: Engaging Multi-Modal Learners in HyFlex Courses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Seven Principles for Good Practice in Undergraduate Education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Taxonomy of Significant Learning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Characteristics of Successful Online Instructors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/>
    </w:pPr>
    <w:r w:rsidDel="00000000" w:rsidR="00000000" w:rsidRPr="00000000">
      <w:rPr>
        <w:rFonts w:ascii="Times New Roman" w:cs="Times New Roman" w:eastAsia="Times New Roman" w:hAnsi="Times New Roman"/>
        <w:i w:val="1"/>
        <w:sz w:val="24"/>
        <w:szCs w:val="24"/>
        <w:rtl w:val="0"/>
      </w:rPr>
      <w:t xml:space="preserve">Module 4: Understanding Evaluation and Effectiveness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