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943600" cy="5588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588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Dimensions of Activities Related to Teaching (DART). Image by Kern et al (2015) in </w:t>
      </w:r>
      <w:r w:rsidDel="00000000" w:rsidR="00000000" w:rsidRPr="00000000">
        <w:rPr>
          <w:rFonts w:ascii="Times New Roman" w:cs="Times New Roman" w:eastAsia="Times New Roman" w:hAnsi="Times New Roman"/>
          <w:color w:val="222222"/>
          <w:highlight w:val="white"/>
          <w:rtl w:val="0"/>
        </w:rPr>
        <w:t xml:space="preserve">The role of SoTL in the academy: Upon the 25th anniversary of Boyer’s Scholarship Reconsidered. </w:t>
      </w:r>
      <w:r w:rsidDel="00000000" w:rsidR="00000000" w:rsidRPr="00000000">
        <w:rPr>
          <w:rFonts w:ascii="Times New Roman" w:cs="Times New Roman" w:eastAsia="Times New Roman" w:hAnsi="Times New Roman"/>
          <w:i w:val="1"/>
          <w:color w:val="222222"/>
          <w:rtl w:val="0"/>
        </w:rPr>
        <w:t xml:space="preserve">Journal of the Scholarship of Teaching and Learning</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15</w:t>
      </w:r>
      <w:r w:rsidDel="00000000" w:rsidR="00000000" w:rsidRPr="00000000">
        <w:rPr>
          <w:rFonts w:ascii="Times New Roman" w:cs="Times New Roman" w:eastAsia="Times New Roman" w:hAnsi="Times New Roman"/>
          <w:color w:val="222222"/>
          <w:highlight w:val="white"/>
          <w:rtl w:val="0"/>
        </w:rPr>
        <w:t xml:space="preserve">(3), 1-14.</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CC BY 4.0</w:t>
        </w:r>
      </w:hyperlink>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6d9eeb"/>
        </w:rPr>
      </w:pPr>
      <w:r w:rsidDel="00000000" w:rsidR="00000000" w:rsidRPr="00000000">
        <w:rPr>
          <w:rFonts w:ascii="Times New Roman" w:cs="Times New Roman" w:eastAsia="Times New Roman" w:hAnsi="Times New Roman"/>
          <w:color w:val="6d9eeb"/>
          <w:rtl w:val="0"/>
        </w:rPr>
        <w:t xml:space="preserve">[Alt text: A diagram with two intersecting axes. The vertical line is labelled “systematic” at the top and “informal” at the bottom. The horizontal line is labelled “private” on the left and “public” on the right. The axes create four quadrants, labelled (starting from the top right, clockwise): </w:t>
      </w:r>
      <w:r w:rsidDel="00000000" w:rsidR="00000000" w:rsidRPr="00000000">
        <w:rPr>
          <w:rFonts w:ascii="Times New Roman" w:cs="Times New Roman" w:eastAsia="Times New Roman" w:hAnsi="Times New Roman"/>
          <w:color w:val="6d9eeb"/>
          <w:rtl w:val="0"/>
        </w:rPr>
        <w:t xml:space="preserve"> scholarship of teaching and learning, sharing about teaching, practice of teaching, and scholarly teaching.]</w:t>
      </w:r>
    </w:p>
    <w:p w:rsidR="00000000" w:rsidDel="00000000" w:rsidP="00000000" w:rsidRDefault="00000000" w:rsidRPr="00000000" w14:paraId="00000008">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sectPr>
          <w:head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Within which quadrants are your current HyFlex teaching-related activities located?</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Where are the activities located on the Public - Private dimension? Informal - Systematic dimension?</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for Further Development of HyFlex Teaching-Related Activities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 1:</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goal here]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 2:</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goal here]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 3:</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goal here]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Quadrant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0"/>
              </w:rPr>
              <w:t xml:space="preserve">Practice of Teaching; Sharing about Teaching; Scholarly Teaching; Scholarship of Teaching and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Timeline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Steps to Achieve Goals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Potential Barriers to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of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Module 4: Understanding Evaluation and Effectiveness</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Unit 5 - Application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reativecommons.org/licenses/by/4.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